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7C8A" w:rsidRDefault="00B87C8A">
      <w:pPr>
        <w:autoSpaceDE w:val="0"/>
        <w:autoSpaceDN w:val="0"/>
        <w:adjustRightInd w:val="0"/>
        <w:rPr>
          <w:rFonts w:ascii="黑体" w:eastAsia="黑体" w:cs="黑体"/>
          <w:sz w:val="84"/>
          <w:szCs w:val="84"/>
        </w:rPr>
      </w:pPr>
    </w:p>
    <w:p w:rsidR="00B87C8A" w:rsidRDefault="00B87C8A">
      <w:pPr>
        <w:autoSpaceDE w:val="0"/>
        <w:autoSpaceDN w:val="0"/>
        <w:adjustRightInd w:val="0"/>
        <w:rPr>
          <w:rFonts w:ascii="黑体" w:eastAsia="黑体" w:cs="黑体"/>
          <w:sz w:val="84"/>
          <w:szCs w:val="84"/>
        </w:rPr>
      </w:pPr>
    </w:p>
    <w:p w:rsidR="00B87C8A" w:rsidRDefault="00B87C8A">
      <w:pPr>
        <w:autoSpaceDE w:val="0"/>
        <w:autoSpaceDN w:val="0"/>
        <w:adjustRightInd w:val="0"/>
        <w:rPr>
          <w:rFonts w:ascii="黑体" w:eastAsia="黑体" w:cs="黑体"/>
          <w:sz w:val="84"/>
          <w:szCs w:val="84"/>
        </w:rPr>
      </w:pPr>
    </w:p>
    <w:p w:rsidR="00B87C8A" w:rsidRDefault="00B87C8A">
      <w:pPr>
        <w:autoSpaceDE w:val="0"/>
        <w:autoSpaceDN w:val="0"/>
        <w:adjustRightInd w:val="0"/>
        <w:rPr>
          <w:rFonts w:ascii="黑体" w:eastAsia="黑体" w:cs="黑体"/>
          <w:sz w:val="84"/>
          <w:szCs w:val="84"/>
        </w:rPr>
      </w:pPr>
    </w:p>
    <w:p w:rsidR="00B87C8A" w:rsidRDefault="00AB139F">
      <w:pPr>
        <w:autoSpaceDE w:val="0"/>
        <w:autoSpaceDN w:val="0"/>
        <w:adjustRightInd w:val="0"/>
        <w:jc w:val="center"/>
        <w:rPr>
          <w:rFonts w:ascii="Times New Roman" w:eastAsia="黑体" w:hAnsi="Times New Roman"/>
          <w:b/>
          <w:sz w:val="96"/>
          <w:szCs w:val="96"/>
        </w:rPr>
      </w:pPr>
      <w:r>
        <w:rPr>
          <w:rFonts w:ascii="黑体" w:eastAsia="黑体" w:cs="黑体"/>
          <w:b/>
          <w:sz w:val="96"/>
          <w:szCs w:val="96"/>
        </w:rPr>
        <w:t>202</w:t>
      </w:r>
      <w:r w:rsidR="00685D71">
        <w:rPr>
          <w:rFonts w:ascii="黑体" w:eastAsia="黑体" w:cs="黑体" w:hint="eastAsia"/>
          <w:b/>
          <w:sz w:val="96"/>
          <w:szCs w:val="96"/>
        </w:rPr>
        <w:t>3</w:t>
      </w:r>
      <w:r w:rsidR="002D1C8A">
        <w:rPr>
          <w:rFonts w:ascii="黑体" w:eastAsia="黑体" w:cs="黑体"/>
          <w:b/>
          <w:sz w:val="96"/>
          <w:szCs w:val="96"/>
        </w:rPr>
        <w:t>年度</w:t>
      </w:r>
    </w:p>
    <w:p w:rsidR="00B87C8A" w:rsidRDefault="002D1C8A">
      <w:pPr>
        <w:autoSpaceDE w:val="0"/>
        <w:autoSpaceDN w:val="0"/>
        <w:adjustRightInd w:val="0"/>
        <w:jc w:val="center"/>
        <w:rPr>
          <w:rFonts w:ascii="黑体" w:eastAsia="黑体" w:hAnsi="Times New Roman" w:cs="黑体"/>
          <w:sz w:val="84"/>
          <w:szCs w:val="84"/>
        </w:rPr>
        <w:sectPr w:rsidR="00B87C8A" w:rsidSect="00612DDE">
          <w:pgSz w:w="12240" w:h="15840"/>
          <w:pgMar w:top="1440" w:right="1800" w:bottom="1440" w:left="1800" w:header="720" w:footer="720" w:gutter="0"/>
          <w:cols w:space="720"/>
          <w:docGrid w:linePitch="326"/>
        </w:sectPr>
      </w:pPr>
      <w:r>
        <w:rPr>
          <w:rFonts w:ascii="黑体" w:eastAsia="黑体" w:hAnsi="Times New Roman" w:cs="黑体"/>
          <w:b/>
          <w:sz w:val="96"/>
          <w:szCs w:val="96"/>
          <w:lang w:val="zh-CN"/>
        </w:rPr>
        <w:t>吉首大学</w:t>
      </w:r>
      <w:r>
        <w:rPr>
          <w:rFonts w:ascii="黑体" w:eastAsia="黑体" w:hAnsi="Times New Roman" w:cs="黑体"/>
          <w:b/>
          <w:sz w:val="96"/>
          <w:szCs w:val="96"/>
        </w:rPr>
        <w:t>部门决算</w:t>
      </w:r>
    </w:p>
    <w:p w:rsidR="00B87C8A" w:rsidRDefault="002D1C8A">
      <w:pPr>
        <w:autoSpaceDE w:val="0"/>
        <w:autoSpaceDN w:val="0"/>
        <w:adjustRightInd w:val="0"/>
        <w:spacing w:line="520" w:lineRule="exact"/>
        <w:jc w:val="center"/>
        <w:rPr>
          <w:rFonts w:hAnsi="Times New Roman"/>
          <w:b/>
          <w:sz w:val="44"/>
          <w:szCs w:val="44"/>
        </w:rPr>
      </w:pPr>
      <w:r>
        <w:rPr>
          <w:rFonts w:hAnsi="Times New Roman"/>
          <w:b/>
          <w:sz w:val="44"/>
          <w:szCs w:val="44"/>
        </w:rPr>
        <w:lastRenderedPageBreak/>
        <w:t>目 录</w:t>
      </w:r>
    </w:p>
    <w:p w:rsidR="00B87C8A" w:rsidRDefault="00B87C8A">
      <w:pPr>
        <w:autoSpaceDE w:val="0"/>
        <w:autoSpaceDN w:val="0"/>
        <w:adjustRightInd w:val="0"/>
        <w:spacing w:line="520" w:lineRule="exact"/>
        <w:rPr>
          <w:rFonts w:ascii="黑体" w:eastAsia="黑体" w:hAnsi="Times New Roman" w:cs="黑体"/>
          <w:b/>
          <w:sz w:val="28"/>
          <w:szCs w:val="28"/>
        </w:rPr>
      </w:pP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 xml:space="preserve">第一部分 </w:t>
      </w:r>
      <w:r>
        <w:rPr>
          <w:rFonts w:ascii="黑体" w:eastAsia="黑体" w:hAnsi="Times New Roman" w:cs="黑体"/>
          <w:b/>
          <w:sz w:val="28"/>
          <w:szCs w:val="28"/>
          <w:lang w:val="zh-CN"/>
        </w:rPr>
        <w:t>吉首大学</w:t>
      </w:r>
      <w:r>
        <w:rPr>
          <w:rFonts w:ascii="黑体" w:eastAsia="黑体" w:hAnsi="Times New Roman" w:cs="黑体"/>
          <w:b/>
          <w:sz w:val="28"/>
          <w:szCs w:val="28"/>
        </w:rPr>
        <w:t>概况</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一、部门职责</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二、机构设置</w:t>
      </w: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第二部分 吉首大学</w:t>
      </w:r>
      <w:r w:rsidR="007F7A26">
        <w:rPr>
          <w:rFonts w:ascii="黑体" w:eastAsia="黑体" w:hAnsi="Times New Roman" w:cs="黑体"/>
          <w:b/>
          <w:sz w:val="28"/>
          <w:szCs w:val="28"/>
        </w:rPr>
        <w:t>202</w:t>
      </w:r>
      <w:r w:rsidR="00A30F07">
        <w:rPr>
          <w:rFonts w:ascii="黑体" w:eastAsia="黑体" w:hAnsi="Times New Roman" w:cs="黑体" w:hint="eastAsia"/>
          <w:b/>
          <w:sz w:val="28"/>
          <w:szCs w:val="28"/>
        </w:rPr>
        <w:t>3</w:t>
      </w:r>
      <w:r>
        <w:rPr>
          <w:rFonts w:ascii="黑体" w:eastAsia="黑体" w:hAnsi="Times New Roman" w:cs="黑体"/>
          <w:b/>
          <w:sz w:val="28"/>
          <w:szCs w:val="28"/>
        </w:rPr>
        <w:t>年度部门决算表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一、收入支出决算总表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二、收入决算表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三、支出决算表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四、财政拨款收入支出决算总表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五、一般公共预算财政拨款支出决算表</w:t>
      </w:r>
    </w:p>
    <w:p w:rsidR="00B87C8A" w:rsidRDefault="002D1C8A" w:rsidP="009F2B1E">
      <w:pPr>
        <w:autoSpaceDE w:val="0"/>
        <w:autoSpaceDN w:val="0"/>
        <w:adjustRightInd w:val="0"/>
        <w:spacing w:line="520" w:lineRule="exact"/>
        <w:ind w:firstLine="700"/>
        <w:rPr>
          <w:rFonts w:ascii="Times New Roman" w:hAnsi="Times New Roman"/>
          <w:sz w:val="28"/>
          <w:szCs w:val="28"/>
        </w:rPr>
      </w:pPr>
      <w:r>
        <w:rPr>
          <w:rFonts w:hAnsi="Times New Roman"/>
          <w:sz w:val="28"/>
          <w:szCs w:val="28"/>
        </w:rPr>
        <w:t>六、一般公共预算财政拨款基本支出决算</w:t>
      </w:r>
      <w:r w:rsidR="00603AFA">
        <w:rPr>
          <w:rFonts w:hAnsi="Times New Roman" w:hint="eastAsia"/>
          <w:sz w:val="28"/>
          <w:szCs w:val="28"/>
        </w:rPr>
        <w:t>明细</w:t>
      </w:r>
      <w:r>
        <w:rPr>
          <w:rFonts w:hAnsi="Times New Roman"/>
          <w:sz w:val="28"/>
          <w:szCs w:val="28"/>
        </w:rPr>
        <w:t>表</w:t>
      </w:r>
    </w:p>
    <w:p w:rsidR="00B87C8A" w:rsidRDefault="009F2B1E">
      <w:pPr>
        <w:autoSpaceDE w:val="0"/>
        <w:autoSpaceDN w:val="0"/>
        <w:adjustRightInd w:val="0"/>
        <w:spacing w:line="520" w:lineRule="exact"/>
        <w:ind w:firstLine="700"/>
        <w:rPr>
          <w:rFonts w:hAnsi="Times New Roman"/>
          <w:sz w:val="28"/>
          <w:szCs w:val="28"/>
        </w:rPr>
      </w:pPr>
      <w:r>
        <w:rPr>
          <w:rFonts w:hAnsi="Times New Roman" w:hint="eastAsia"/>
          <w:sz w:val="28"/>
          <w:szCs w:val="28"/>
        </w:rPr>
        <w:t>七</w:t>
      </w:r>
      <w:r w:rsidR="002D1C8A">
        <w:rPr>
          <w:rFonts w:hAnsi="Times New Roman"/>
          <w:sz w:val="28"/>
          <w:szCs w:val="28"/>
        </w:rPr>
        <w:t>、政府性基金预算财政拨款收入支出决算表</w:t>
      </w:r>
    </w:p>
    <w:p w:rsidR="00B87C8A" w:rsidRDefault="009F2B1E">
      <w:pPr>
        <w:autoSpaceDE w:val="0"/>
        <w:autoSpaceDN w:val="0"/>
        <w:adjustRightInd w:val="0"/>
        <w:spacing w:line="520" w:lineRule="exact"/>
        <w:ind w:firstLine="700"/>
        <w:rPr>
          <w:rFonts w:hAnsi="Times New Roman"/>
          <w:sz w:val="28"/>
          <w:szCs w:val="28"/>
        </w:rPr>
      </w:pPr>
      <w:r>
        <w:rPr>
          <w:rFonts w:hAnsi="Times New Roman" w:hint="eastAsia"/>
          <w:sz w:val="28"/>
          <w:szCs w:val="28"/>
        </w:rPr>
        <w:t>八</w:t>
      </w:r>
      <w:r w:rsidR="002D1C8A">
        <w:rPr>
          <w:rFonts w:hAnsi="Times New Roman"/>
          <w:sz w:val="28"/>
          <w:szCs w:val="28"/>
        </w:rPr>
        <w:t>、国有资本经营预算财政拨款支出决算表</w:t>
      </w:r>
    </w:p>
    <w:p w:rsidR="009F2B1E" w:rsidRDefault="009F2B1E">
      <w:pPr>
        <w:autoSpaceDE w:val="0"/>
        <w:autoSpaceDN w:val="0"/>
        <w:adjustRightInd w:val="0"/>
        <w:spacing w:line="520" w:lineRule="exact"/>
        <w:ind w:firstLine="700"/>
        <w:rPr>
          <w:rFonts w:ascii="Times New Roman" w:hAnsi="Times New Roman"/>
          <w:sz w:val="28"/>
          <w:szCs w:val="28"/>
        </w:rPr>
      </w:pPr>
      <w:r>
        <w:rPr>
          <w:rFonts w:hAnsi="Times New Roman" w:hint="eastAsia"/>
          <w:sz w:val="28"/>
          <w:szCs w:val="28"/>
        </w:rPr>
        <w:t>九</w:t>
      </w:r>
      <w:r>
        <w:rPr>
          <w:rFonts w:hAnsi="Times New Roman"/>
          <w:sz w:val="28"/>
          <w:szCs w:val="28"/>
        </w:rPr>
        <w:t>、财政拨款</w:t>
      </w:r>
      <w:r>
        <w:rPr>
          <w:rFonts w:ascii="Times New Roman" w:hAnsi="Times New Roman"/>
          <w:sz w:val="28"/>
          <w:szCs w:val="28"/>
        </w:rPr>
        <w:t>“</w:t>
      </w:r>
      <w:r>
        <w:rPr>
          <w:rFonts w:hAnsi="Times New Roman"/>
          <w:sz w:val="28"/>
          <w:szCs w:val="28"/>
        </w:rPr>
        <w:t>三公</w:t>
      </w:r>
      <w:r>
        <w:rPr>
          <w:rFonts w:ascii="Times New Roman" w:hAnsi="Times New Roman"/>
          <w:sz w:val="28"/>
          <w:szCs w:val="28"/>
        </w:rPr>
        <w:t>”</w:t>
      </w:r>
      <w:r>
        <w:rPr>
          <w:rFonts w:hAnsi="Times New Roman"/>
          <w:sz w:val="28"/>
          <w:szCs w:val="28"/>
        </w:rPr>
        <w:t>经费支出决算表</w:t>
      </w: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第三部分 吉首大学202</w:t>
      </w:r>
      <w:r w:rsidR="00A30F07">
        <w:rPr>
          <w:rFonts w:ascii="黑体" w:eastAsia="黑体" w:hAnsi="Times New Roman" w:cs="黑体" w:hint="eastAsia"/>
          <w:b/>
          <w:sz w:val="28"/>
          <w:szCs w:val="28"/>
        </w:rPr>
        <w:t>3</w:t>
      </w:r>
      <w:r>
        <w:rPr>
          <w:rFonts w:ascii="黑体" w:eastAsia="黑体" w:hAnsi="Times New Roman" w:cs="黑体"/>
          <w:b/>
          <w:sz w:val="28"/>
          <w:szCs w:val="28"/>
        </w:rPr>
        <w:t>年度部门决算情况说明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一、收入支出决算总体情况说明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二、收入决算情况说明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三、支出决算情况说明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四、财政拨款收入支出决算总体情况说明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五、一般公共预算财政拨款支出决算情况说明</w:t>
      </w:r>
    </w:p>
    <w:p w:rsidR="00B87C8A" w:rsidRDefault="002D1C8A">
      <w:pPr>
        <w:autoSpaceDE w:val="0"/>
        <w:autoSpaceDN w:val="0"/>
        <w:adjustRightInd w:val="0"/>
        <w:spacing w:line="520" w:lineRule="exact"/>
        <w:ind w:firstLine="700"/>
        <w:rPr>
          <w:rFonts w:hAnsi="Times New Roman"/>
          <w:sz w:val="28"/>
          <w:szCs w:val="28"/>
        </w:rPr>
      </w:pPr>
      <w:r>
        <w:rPr>
          <w:rFonts w:hAnsi="Times New Roman"/>
          <w:sz w:val="28"/>
          <w:szCs w:val="28"/>
        </w:rPr>
        <w:t>六、一般公共预算财政拨款基本支出决算情况说明</w:t>
      </w:r>
    </w:p>
    <w:p w:rsidR="00900EC5" w:rsidRPr="00900EC5" w:rsidRDefault="00900EC5" w:rsidP="00900EC5">
      <w:pPr>
        <w:autoSpaceDE w:val="0"/>
        <w:autoSpaceDN w:val="0"/>
        <w:adjustRightInd w:val="0"/>
        <w:spacing w:line="520" w:lineRule="exact"/>
        <w:ind w:firstLine="700"/>
        <w:rPr>
          <w:rFonts w:hAnsi="Times New Roman"/>
          <w:color w:val="000000" w:themeColor="text1"/>
          <w:sz w:val="28"/>
          <w:szCs w:val="28"/>
        </w:rPr>
      </w:pPr>
      <w:r>
        <w:rPr>
          <w:rFonts w:hAnsi="Times New Roman" w:hint="eastAsia"/>
          <w:color w:val="000000" w:themeColor="text1"/>
          <w:sz w:val="28"/>
          <w:szCs w:val="28"/>
        </w:rPr>
        <w:t>七</w:t>
      </w:r>
      <w:r w:rsidRPr="007F7A26">
        <w:rPr>
          <w:rFonts w:hAnsi="Times New Roman"/>
          <w:color w:val="000000" w:themeColor="text1"/>
          <w:sz w:val="28"/>
          <w:szCs w:val="28"/>
        </w:rPr>
        <w:t>、财政拨款三</w:t>
      </w:r>
      <w:proofErr w:type="gramStart"/>
      <w:r w:rsidRPr="007F7A26">
        <w:rPr>
          <w:rFonts w:hAnsi="Times New Roman"/>
          <w:color w:val="000000" w:themeColor="text1"/>
          <w:sz w:val="28"/>
          <w:szCs w:val="28"/>
        </w:rPr>
        <w:t>公经费</w:t>
      </w:r>
      <w:proofErr w:type="gramEnd"/>
      <w:r w:rsidRPr="007F7A26">
        <w:rPr>
          <w:rFonts w:hAnsi="Times New Roman"/>
          <w:color w:val="000000" w:themeColor="text1"/>
          <w:sz w:val="28"/>
          <w:szCs w:val="28"/>
        </w:rPr>
        <w:t>支出决算情况说明</w:t>
      </w:r>
    </w:p>
    <w:p w:rsidR="00B87C8A" w:rsidRPr="007F7A26" w:rsidRDefault="00900EC5">
      <w:pPr>
        <w:autoSpaceDE w:val="0"/>
        <w:autoSpaceDN w:val="0"/>
        <w:adjustRightInd w:val="0"/>
        <w:spacing w:line="500" w:lineRule="exact"/>
        <w:ind w:firstLine="700"/>
        <w:rPr>
          <w:rFonts w:hAnsi="Times New Roman"/>
          <w:color w:val="000000" w:themeColor="text1"/>
          <w:sz w:val="28"/>
          <w:szCs w:val="28"/>
        </w:rPr>
      </w:pPr>
      <w:r>
        <w:rPr>
          <w:rFonts w:hAnsi="Times New Roman" w:hint="eastAsia"/>
          <w:color w:val="000000" w:themeColor="text1"/>
          <w:sz w:val="28"/>
          <w:szCs w:val="28"/>
        </w:rPr>
        <w:t>八</w:t>
      </w:r>
      <w:r w:rsidR="002D1C8A" w:rsidRPr="007F7A26">
        <w:rPr>
          <w:rFonts w:hAnsi="Times New Roman"/>
          <w:color w:val="000000" w:themeColor="text1"/>
          <w:sz w:val="28"/>
          <w:szCs w:val="28"/>
        </w:rPr>
        <w:t>、政府性基金预算收入支出决算情况</w:t>
      </w:r>
    </w:p>
    <w:p w:rsidR="00B87C8A" w:rsidRDefault="00900EC5" w:rsidP="00900EC5">
      <w:pPr>
        <w:autoSpaceDE w:val="0"/>
        <w:autoSpaceDN w:val="0"/>
        <w:adjustRightInd w:val="0"/>
        <w:spacing w:line="520" w:lineRule="exact"/>
        <w:ind w:firstLine="700"/>
        <w:rPr>
          <w:rFonts w:ascii="仿宋_GB2312" w:eastAsia="仿宋_GB2312" w:hAnsi="Times New Roman" w:cs="仿宋_GB2312"/>
          <w:sz w:val="28"/>
          <w:szCs w:val="28"/>
        </w:rPr>
      </w:pPr>
      <w:r>
        <w:rPr>
          <w:rFonts w:hAnsi="Times New Roman" w:hint="eastAsia"/>
          <w:sz w:val="28"/>
          <w:szCs w:val="28"/>
        </w:rPr>
        <w:lastRenderedPageBreak/>
        <w:t>九</w:t>
      </w:r>
      <w:r w:rsidR="002D1C8A">
        <w:rPr>
          <w:rFonts w:hAnsi="Times New Roman"/>
          <w:sz w:val="28"/>
          <w:szCs w:val="28"/>
        </w:rPr>
        <w:t>、关于机关运行经费支出说明</w:t>
      </w:r>
    </w:p>
    <w:p w:rsidR="00B87C8A" w:rsidRDefault="00900EC5">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t>十</w:t>
      </w:r>
      <w:r w:rsidR="002D1C8A">
        <w:rPr>
          <w:rFonts w:hAnsi="Times New Roman"/>
          <w:sz w:val="28"/>
          <w:szCs w:val="28"/>
        </w:rPr>
        <w:t>、一般性支出情况</w:t>
      </w:r>
    </w:p>
    <w:p w:rsidR="00B87C8A" w:rsidRDefault="002D1C8A">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t>十</w:t>
      </w:r>
      <w:r w:rsidR="00900EC5">
        <w:rPr>
          <w:rFonts w:hAnsi="Times New Roman" w:hint="eastAsia"/>
          <w:sz w:val="28"/>
          <w:szCs w:val="28"/>
        </w:rPr>
        <w:t>一</w:t>
      </w:r>
      <w:r>
        <w:rPr>
          <w:rFonts w:hAnsi="Times New Roman"/>
          <w:sz w:val="28"/>
          <w:szCs w:val="28"/>
        </w:rPr>
        <w:t>、关于政府采购支出说明</w:t>
      </w:r>
    </w:p>
    <w:p w:rsidR="00B87C8A" w:rsidRDefault="002D1C8A">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t>十</w:t>
      </w:r>
      <w:r w:rsidR="00900EC5">
        <w:rPr>
          <w:rFonts w:hAnsi="Times New Roman" w:hint="eastAsia"/>
          <w:sz w:val="28"/>
          <w:szCs w:val="28"/>
        </w:rPr>
        <w:t>二</w:t>
      </w:r>
      <w:r>
        <w:rPr>
          <w:rFonts w:hAnsi="Times New Roman"/>
          <w:sz w:val="28"/>
          <w:szCs w:val="28"/>
        </w:rPr>
        <w:t>、关于国有资产占用情况说明</w:t>
      </w:r>
    </w:p>
    <w:p w:rsidR="00B87C8A" w:rsidRDefault="002D1C8A">
      <w:pPr>
        <w:autoSpaceDE w:val="0"/>
        <w:autoSpaceDN w:val="0"/>
        <w:adjustRightInd w:val="0"/>
        <w:spacing w:line="500" w:lineRule="exact"/>
        <w:ind w:firstLine="700"/>
        <w:rPr>
          <w:rFonts w:hAnsi="Times New Roman"/>
          <w:sz w:val="28"/>
          <w:szCs w:val="28"/>
        </w:rPr>
      </w:pPr>
      <w:r>
        <w:rPr>
          <w:rFonts w:hAnsi="Times New Roman"/>
          <w:sz w:val="28"/>
          <w:szCs w:val="28"/>
        </w:rPr>
        <w:t>十</w:t>
      </w:r>
      <w:r w:rsidR="00900EC5">
        <w:rPr>
          <w:rFonts w:hAnsi="Times New Roman" w:hint="eastAsia"/>
          <w:sz w:val="28"/>
          <w:szCs w:val="28"/>
        </w:rPr>
        <w:t>三</w:t>
      </w:r>
      <w:r>
        <w:rPr>
          <w:rFonts w:hAnsi="Times New Roman"/>
          <w:sz w:val="28"/>
          <w:szCs w:val="28"/>
        </w:rPr>
        <w:t>、关于</w:t>
      </w:r>
      <w:r w:rsidR="009F2B1E">
        <w:rPr>
          <w:rFonts w:hAnsi="Times New Roman"/>
          <w:sz w:val="28"/>
          <w:szCs w:val="28"/>
        </w:rPr>
        <w:t>202</w:t>
      </w:r>
      <w:r w:rsidR="00A30F07">
        <w:rPr>
          <w:rFonts w:hAnsi="Times New Roman" w:hint="eastAsia"/>
          <w:sz w:val="28"/>
          <w:szCs w:val="28"/>
        </w:rPr>
        <w:t>3</w:t>
      </w:r>
      <w:r>
        <w:rPr>
          <w:rFonts w:hAnsi="Times New Roman"/>
          <w:sz w:val="28"/>
          <w:szCs w:val="28"/>
        </w:rPr>
        <w:t>年度预算绩效情况的说明</w:t>
      </w: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第四部分 名词解释</w:t>
      </w:r>
    </w:p>
    <w:p w:rsidR="00B87C8A" w:rsidRDefault="002D1C8A">
      <w:pPr>
        <w:autoSpaceDE w:val="0"/>
        <w:autoSpaceDN w:val="0"/>
        <w:adjustRightInd w:val="0"/>
        <w:spacing w:line="520" w:lineRule="exact"/>
        <w:rPr>
          <w:rFonts w:ascii="Times New Roman" w:eastAsia="黑体" w:hAnsi="Times New Roman"/>
          <w:sz w:val="44"/>
          <w:szCs w:val="44"/>
          <w:lang w:val="zh-CN"/>
        </w:rPr>
      </w:pPr>
      <w:r>
        <w:rPr>
          <w:rFonts w:ascii="黑体" w:eastAsia="黑体" w:hAnsi="Times New Roman" w:cs="黑体"/>
          <w:b/>
          <w:sz w:val="28"/>
          <w:szCs w:val="28"/>
        </w:rPr>
        <w:t>第五部分 附件</w:t>
      </w:r>
    </w:p>
    <w:p w:rsidR="00B87C8A" w:rsidRDefault="00B87C8A">
      <w:pPr>
        <w:autoSpaceDE w:val="0"/>
        <w:autoSpaceDN w:val="0"/>
        <w:adjustRightInd w:val="0"/>
        <w:spacing w:line="520" w:lineRule="exact"/>
        <w:rPr>
          <w:rFonts w:ascii="黑体" w:eastAsia="黑体" w:hAnsi="Times New Roman" w:cs="黑体"/>
          <w:sz w:val="32"/>
          <w:szCs w:val="32"/>
        </w:rPr>
        <w:sectPr w:rsidR="00B87C8A" w:rsidSect="00612DDE">
          <w:pgSz w:w="12240" w:h="15840"/>
          <w:pgMar w:top="1440" w:right="1800" w:bottom="1440" w:left="1800" w:header="720" w:footer="720" w:gutter="0"/>
          <w:cols w:space="720"/>
          <w:docGrid w:linePitch="326"/>
        </w:sectPr>
      </w:pPr>
    </w:p>
    <w:p w:rsidR="00B87C8A" w:rsidRDefault="00B87C8A">
      <w:pPr>
        <w:autoSpaceDE w:val="0"/>
        <w:autoSpaceDN w:val="0"/>
        <w:adjustRightInd w:val="0"/>
        <w:rPr>
          <w:rFonts w:ascii="黑体" w:eastAsia="黑体" w:hAnsi="Times New Roman" w:cs="黑体"/>
          <w:sz w:val="96"/>
          <w:szCs w:val="96"/>
        </w:rPr>
      </w:pPr>
    </w:p>
    <w:p w:rsidR="00B87C8A" w:rsidRDefault="00B87C8A">
      <w:pPr>
        <w:autoSpaceDE w:val="0"/>
        <w:autoSpaceDN w:val="0"/>
        <w:adjustRightInd w:val="0"/>
        <w:jc w:val="center"/>
        <w:rPr>
          <w:rFonts w:ascii="黑体" w:eastAsia="黑体" w:hAnsi="Times New Roman" w:cs="黑体"/>
          <w:sz w:val="96"/>
          <w:szCs w:val="96"/>
        </w:rPr>
      </w:pPr>
    </w:p>
    <w:p w:rsidR="00B87C8A" w:rsidRDefault="00B87C8A">
      <w:pPr>
        <w:autoSpaceDE w:val="0"/>
        <w:autoSpaceDN w:val="0"/>
        <w:adjustRightInd w:val="0"/>
        <w:jc w:val="center"/>
        <w:rPr>
          <w:rFonts w:ascii="黑体" w:eastAsia="黑体" w:hAnsi="Times New Roman" w:cs="黑体"/>
          <w:sz w:val="84"/>
          <w:szCs w:val="84"/>
        </w:rPr>
      </w:pPr>
    </w:p>
    <w:p w:rsidR="00B87C8A" w:rsidRDefault="00B87C8A">
      <w:pPr>
        <w:autoSpaceDE w:val="0"/>
        <w:autoSpaceDN w:val="0"/>
        <w:adjustRightInd w:val="0"/>
        <w:jc w:val="center"/>
        <w:rPr>
          <w:rFonts w:ascii="黑体" w:eastAsia="黑体" w:hAnsi="Times New Roman" w:cs="黑体"/>
          <w:sz w:val="56"/>
          <w:szCs w:val="56"/>
        </w:rPr>
      </w:pPr>
    </w:p>
    <w:p w:rsidR="00B87C8A" w:rsidRDefault="002D1C8A">
      <w:pPr>
        <w:autoSpaceDE w:val="0"/>
        <w:autoSpaceDN w:val="0"/>
        <w:adjustRightInd w:val="0"/>
        <w:jc w:val="center"/>
        <w:rPr>
          <w:rFonts w:ascii="Times New Roman" w:eastAsia="黑体" w:hAnsi="Times New Roman"/>
          <w:sz w:val="84"/>
          <w:szCs w:val="84"/>
          <w:lang w:val="zh-CN"/>
        </w:rPr>
      </w:pPr>
      <w:r>
        <w:rPr>
          <w:rFonts w:ascii="黑体" w:eastAsia="黑体" w:hAnsi="Times New Roman" w:cs="黑体"/>
          <w:sz w:val="84"/>
          <w:szCs w:val="84"/>
        </w:rPr>
        <w:t>第一部分</w:t>
      </w:r>
    </w:p>
    <w:p w:rsidR="00B87C8A" w:rsidRDefault="002D1C8A" w:rsidP="00EC77AB">
      <w:pPr>
        <w:autoSpaceDE w:val="0"/>
        <w:autoSpaceDN w:val="0"/>
        <w:adjustRightInd w:val="0"/>
        <w:spacing w:beforeLines="100" w:before="240"/>
        <w:jc w:val="center"/>
        <w:rPr>
          <w:rFonts w:ascii="Times New Roman" w:eastAsia="黑体" w:hAnsi="Times New Roman"/>
          <w:sz w:val="96"/>
          <w:szCs w:val="96"/>
          <w:lang w:val="zh-CN"/>
        </w:rPr>
      </w:pPr>
      <w:r>
        <w:rPr>
          <w:rFonts w:ascii="黑体" w:eastAsia="黑体" w:hAnsi="Times New Roman" w:cs="黑体"/>
          <w:sz w:val="84"/>
          <w:szCs w:val="84"/>
          <w:lang w:val="zh-CN"/>
        </w:rPr>
        <w:t>吉首大学</w:t>
      </w:r>
      <w:r>
        <w:rPr>
          <w:rFonts w:ascii="黑体" w:eastAsia="黑体" w:hAnsi="Times New Roman" w:cs="黑体"/>
          <w:sz w:val="84"/>
          <w:szCs w:val="84"/>
        </w:rPr>
        <w:t>概况</w:t>
      </w:r>
    </w:p>
    <w:p w:rsidR="00B87C8A" w:rsidRDefault="00B87C8A">
      <w:pPr>
        <w:autoSpaceDE w:val="0"/>
        <w:autoSpaceDN w:val="0"/>
        <w:adjustRightInd w:val="0"/>
        <w:jc w:val="center"/>
        <w:rPr>
          <w:rFonts w:hAnsi="Times New Roman"/>
          <w:sz w:val="96"/>
          <w:szCs w:val="96"/>
        </w:rPr>
        <w:sectPr w:rsidR="00B87C8A" w:rsidSect="00612DDE">
          <w:pgSz w:w="12240" w:h="15840"/>
          <w:pgMar w:top="1440" w:right="1800" w:bottom="1440" w:left="1800" w:header="720" w:footer="720" w:gutter="0"/>
          <w:cols w:space="720"/>
          <w:docGrid w:linePitch="326"/>
        </w:sectPr>
      </w:pPr>
    </w:p>
    <w:p w:rsidR="00B87C8A" w:rsidRDefault="002D1C8A">
      <w:pPr>
        <w:autoSpaceDE w:val="0"/>
        <w:autoSpaceDN w:val="0"/>
        <w:adjustRightInd w:val="0"/>
        <w:spacing w:line="360" w:lineRule="auto"/>
        <w:ind w:firstLineChars="200" w:firstLine="640"/>
        <w:rPr>
          <w:rFonts w:ascii="黑体" w:eastAsia="黑体" w:hAnsi="黑体" w:cs="黑体"/>
          <w:sz w:val="32"/>
          <w:szCs w:val="32"/>
          <w:lang w:val="zh-CN"/>
        </w:rPr>
      </w:pPr>
      <w:r>
        <w:rPr>
          <w:rFonts w:ascii="黑体" w:eastAsia="黑体" w:hAnsi="黑体" w:cs="黑体"/>
          <w:sz w:val="32"/>
          <w:szCs w:val="32"/>
        </w:rPr>
        <w:lastRenderedPageBreak/>
        <w:t>一、</w:t>
      </w:r>
      <w:r>
        <w:rPr>
          <w:rFonts w:ascii="黑体" w:eastAsia="黑体" w:hAnsi="黑体" w:cs="黑体"/>
          <w:sz w:val="32"/>
          <w:szCs w:val="32"/>
          <w:lang w:val="zh-CN"/>
        </w:rPr>
        <w:t>部门职责</w:t>
      </w:r>
    </w:p>
    <w:p w:rsidR="0074118E" w:rsidRDefault="0074118E" w:rsidP="008741C5">
      <w:pPr>
        <w:spacing w:line="360" w:lineRule="auto"/>
        <w:ind w:firstLineChars="200" w:firstLine="560"/>
        <w:rPr>
          <w:sz w:val="28"/>
          <w:szCs w:val="28"/>
        </w:rPr>
      </w:pPr>
      <w:r w:rsidRPr="0074118E">
        <w:rPr>
          <w:rFonts w:hint="eastAsia"/>
          <w:sz w:val="28"/>
          <w:szCs w:val="28"/>
        </w:rPr>
        <w:t>吉首大学创办于</w:t>
      </w:r>
      <w:r w:rsidRPr="0074118E">
        <w:rPr>
          <w:sz w:val="28"/>
          <w:szCs w:val="28"/>
        </w:rPr>
        <w:t>1958年，在湖南省湘西土家族苗族自治州和张家界市两地办学，是湖南省属综合性大学，也是武陵山片区唯一的综合性大学。学校先后成为国家民委与湖南省政府共建高校、一本批次录取高校、博士学位授权单位、湖南省高水平建设大学、湖南省“双一流”建设高校、推荐优秀应届本科毕业生免试攻读硕士学位研究生普通高校。</w:t>
      </w:r>
      <w:r w:rsidRPr="0074118E">
        <w:rPr>
          <w:rFonts w:hint="eastAsia"/>
          <w:sz w:val="28"/>
          <w:szCs w:val="28"/>
        </w:rPr>
        <w:t>面向未来，吉首大学将继续</w:t>
      </w:r>
      <w:r w:rsidR="008741C5" w:rsidRPr="00BA356D">
        <w:rPr>
          <w:rFonts w:hint="eastAsia"/>
          <w:color w:val="000000" w:themeColor="text1"/>
          <w:sz w:val="28"/>
          <w:szCs w:val="28"/>
        </w:rPr>
        <w:t>坚持“立足湘西、面向湖南、辐射全国、服务基层”的办学定位</w:t>
      </w:r>
      <w:r w:rsidR="008741C5">
        <w:rPr>
          <w:rFonts w:hint="eastAsia"/>
          <w:sz w:val="28"/>
          <w:szCs w:val="28"/>
        </w:rPr>
        <w:t>，</w:t>
      </w:r>
      <w:r w:rsidRPr="008741C5">
        <w:rPr>
          <w:rFonts w:hint="eastAsia"/>
          <w:sz w:val="28"/>
          <w:szCs w:val="28"/>
        </w:rPr>
        <w:t>创新知识和科学技术，培养具有人文精神、科学素养、创新能力和务实作风的复合型应用性人才，全面建设特色鲜明、优势突出的教学研究型综合大学。</w:t>
      </w:r>
    </w:p>
    <w:p w:rsidR="00B87C8A" w:rsidRDefault="002D1C8A">
      <w:pPr>
        <w:spacing w:line="360" w:lineRule="auto"/>
        <w:ind w:firstLineChars="200" w:firstLine="562"/>
        <w:rPr>
          <w:b/>
          <w:sz w:val="28"/>
          <w:szCs w:val="28"/>
        </w:rPr>
      </w:pPr>
      <w:r>
        <w:rPr>
          <w:b/>
          <w:sz w:val="28"/>
          <w:szCs w:val="28"/>
        </w:rPr>
        <w:t>（一）人才培养</w:t>
      </w:r>
    </w:p>
    <w:p w:rsidR="00B87C8A" w:rsidRDefault="002D1C8A" w:rsidP="00AD21AA">
      <w:pPr>
        <w:spacing w:line="360" w:lineRule="auto"/>
        <w:ind w:firstLineChars="200" w:firstLine="560"/>
        <w:rPr>
          <w:sz w:val="28"/>
          <w:szCs w:val="28"/>
        </w:rPr>
      </w:pPr>
      <w:r>
        <w:rPr>
          <w:sz w:val="28"/>
          <w:szCs w:val="28"/>
        </w:rPr>
        <w:t>学校根据国家政策、社会需要和自身办学条件，自主合理确定办学规模，调整办学结构</w:t>
      </w:r>
      <w:r w:rsidR="00AD21AA">
        <w:rPr>
          <w:sz w:val="28"/>
          <w:szCs w:val="28"/>
        </w:rPr>
        <w:t>，科学设置和调整学科、专业。依法招收学生，对学生实施教育和管理</w:t>
      </w:r>
      <w:r w:rsidR="00AD21AA">
        <w:rPr>
          <w:rFonts w:hint="eastAsia"/>
          <w:sz w:val="28"/>
          <w:szCs w:val="28"/>
        </w:rPr>
        <w:t>。</w:t>
      </w:r>
      <w:r w:rsidR="00AD21AA">
        <w:rPr>
          <w:sz w:val="28"/>
          <w:szCs w:val="28"/>
        </w:rPr>
        <w:t>学校主要教育形式为全日制学历教育</w:t>
      </w:r>
      <w:r w:rsidR="00AD21AA">
        <w:rPr>
          <w:rFonts w:hint="eastAsia"/>
          <w:sz w:val="28"/>
          <w:szCs w:val="28"/>
        </w:rPr>
        <w:t>，</w:t>
      </w:r>
      <w:r w:rsidR="00AD21AA" w:rsidRPr="00AD21AA">
        <w:rPr>
          <w:sz w:val="28"/>
          <w:szCs w:val="28"/>
        </w:rPr>
        <w:t>学历教育以本科生教育为主，积极开展研究生教育和留学生教育。</w:t>
      </w:r>
      <w:r w:rsidR="00AD21AA">
        <w:rPr>
          <w:rFonts w:hint="eastAsia"/>
          <w:sz w:val="28"/>
          <w:szCs w:val="28"/>
        </w:rPr>
        <w:t>学校</w:t>
      </w:r>
      <w:r>
        <w:rPr>
          <w:sz w:val="28"/>
          <w:szCs w:val="28"/>
        </w:rPr>
        <w:t>根据办学定位及社会需要等，自主确立人才培养目标和要求，组织实施教育</w:t>
      </w:r>
      <w:r w:rsidR="00AD21AA">
        <w:rPr>
          <w:sz w:val="28"/>
          <w:szCs w:val="28"/>
        </w:rPr>
        <w:t>教学活动。学校依法向符合条件的毕业生颁发相应学业证书和学位证书</w:t>
      </w:r>
      <w:r w:rsidR="00AD21AA">
        <w:rPr>
          <w:rFonts w:hint="eastAsia"/>
          <w:sz w:val="28"/>
          <w:szCs w:val="28"/>
        </w:rPr>
        <w:t>，</w:t>
      </w:r>
      <w:r>
        <w:rPr>
          <w:sz w:val="28"/>
          <w:szCs w:val="28"/>
        </w:rPr>
        <w:t>执行国家学位制度，依法授予学士、硕士、博士学位。并可向为社会发展和人类文明进步做出突出贡献的杰出人士授予名誉博士学位或其他荣誉称号。</w:t>
      </w:r>
    </w:p>
    <w:p w:rsidR="00B87C8A" w:rsidRDefault="002D1C8A">
      <w:pPr>
        <w:pStyle w:val="a6"/>
        <w:spacing w:line="360" w:lineRule="auto"/>
        <w:ind w:firstLineChars="0" w:firstLine="562"/>
        <w:rPr>
          <w:b/>
          <w:sz w:val="28"/>
          <w:szCs w:val="28"/>
        </w:rPr>
      </w:pPr>
      <w:r>
        <w:rPr>
          <w:b/>
          <w:sz w:val="28"/>
          <w:szCs w:val="28"/>
        </w:rPr>
        <w:t>（二）科学研究</w:t>
      </w:r>
    </w:p>
    <w:p w:rsidR="00B87C8A" w:rsidRDefault="002D1C8A">
      <w:pPr>
        <w:spacing w:line="360" w:lineRule="auto"/>
        <w:ind w:firstLineChars="200" w:firstLine="560"/>
        <w:rPr>
          <w:sz w:val="28"/>
          <w:szCs w:val="28"/>
        </w:rPr>
      </w:pPr>
      <w:r>
        <w:rPr>
          <w:sz w:val="28"/>
          <w:szCs w:val="28"/>
        </w:rPr>
        <w:t>学校面向学术前沿和社会需求，积极开展科学研究，促进知识创新和技术创新，致力于解决经济社会发展中的理论与实践问题。支持并组</w:t>
      </w:r>
      <w:r>
        <w:rPr>
          <w:sz w:val="28"/>
          <w:szCs w:val="28"/>
        </w:rPr>
        <w:lastRenderedPageBreak/>
        <w:t>织教师、研究人员和学生开展各类科学研究，鼓励自由探索和科研创新，形成自身科研特色与优势，促进良好学术生态与优良学术传统的形成。学校推动科学研究与人才培养、社会服务、文化传承创新工作紧密结合，提高人才培养质量，增强服务社会能力，整体提升办学实力。学校尊重和保障教师、研究人员和学生在教学、研究和学习方面依法享有的学术自由，营造宽松而积极向上的学术环境，建立健全学术评价机制，倡导学术平等，严格学术管理。学校加强学术道德宣传与学术诚信教育，反对和惩处学术不端行为。</w:t>
      </w:r>
    </w:p>
    <w:p w:rsidR="00B87C8A" w:rsidRDefault="002D1C8A">
      <w:pPr>
        <w:pStyle w:val="a6"/>
        <w:spacing w:line="360" w:lineRule="auto"/>
        <w:ind w:firstLineChars="0" w:firstLine="562"/>
        <w:rPr>
          <w:b/>
          <w:sz w:val="28"/>
          <w:szCs w:val="28"/>
        </w:rPr>
      </w:pPr>
      <w:r>
        <w:rPr>
          <w:b/>
          <w:sz w:val="28"/>
          <w:szCs w:val="28"/>
        </w:rPr>
        <w:t>（三）社会服务</w:t>
      </w:r>
    </w:p>
    <w:p w:rsidR="00B87C8A" w:rsidRDefault="002D1C8A">
      <w:pPr>
        <w:pStyle w:val="a6"/>
        <w:spacing w:line="360" w:lineRule="auto"/>
        <w:ind w:firstLine="560"/>
        <w:rPr>
          <w:sz w:val="28"/>
          <w:szCs w:val="28"/>
        </w:rPr>
      </w:pPr>
      <w:r>
        <w:rPr>
          <w:sz w:val="28"/>
          <w:szCs w:val="28"/>
        </w:rPr>
        <w:t>学校以人才培养和科学研究成果服务社会，积极为地方和国家经济社会发展提供人才与智力支持。学校树立主动服务社会意识，构建开放包容、合作共享的社会服务机制，构筑社会服务平台，提高对地方和国家经济社会发展的贡献度。学校利用人才优势充分发挥智囊团、思想库作用，为地方和国家经济社会发展提供决策咨询服务。学校建立健全档案、资料、信息、设施、设备等资源开放机制，面向社会提供资源共享服务。学校鼓励师生员工开展社区服务和志愿服务。</w:t>
      </w:r>
    </w:p>
    <w:p w:rsidR="00B87C8A" w:rsidRDefault="002D1C8A">
      <w:pPr>
        <w:pStyle w:val="a6"/>
        <w:spacing w:line="360" w:lineRule="auto"/>
        <w:ind w:firstLineChars="0" w:firstLine="562"/>
        <w:rPr>
          <w:b/>
          <w:sz w:val="28"/>
          <w:szCs w:val="28"/>
        </w:rPr>
      </w:pPr>
      <w:r>
        <w:rPr>
          <w:b/>
          <w:sz w:val="28"/>
          <w:szCs w:val="28"/>
        </w:rPr>
        <w:t>（四）文化传承与创新</w:t>
      </w:r>
    </w:p>
    <w:p w:rsidR="00B87C8A" w:rsidRDefault="002D1C8A">
      <w:pPr>
        <w:pStyle w:val="a6"/>
        <w:spacing w:line="360" w:lineRule="auto"/>
        <w:ind w:firstLine="560"/>
        <w:rPr>
          <w:sz w:val="28"/>
          <w:szCs w:val="28"/>
        </w:rPr>
      </w:pPr>
      <w:r>
        <w:rPr>
          <w:sz w:val="28"/>
          <w:szCs w:val="28"/>
        </w:rPr>
        <w:t>学校致力于优秀传统文化的传承与创新，促进民族优秀文化与世界先进文明交流</w:t>
      </w:r>
      <w:proofErr w:type="gramStart"/>
      <w:r>
        <w:rPr>
          <w:sz w:val="28"/>
          <w:szCs w:val="28"/>
        </w:rPr>
        <w:t>融汇</w:t>
      </w:r>
      <w:proofErr w:type="gramEnd"/>
      <w:r>
        <w:rPr>
          <w:sz w:val="28"/>
          <w:szCs w:val="28"/>
        </w:rPr>
        <w:t>，并致力于地方民族优秀传统文化的发掘、整理、研究和传播，丰富中华民族文化宝库，发挥学校文化研究、示范与辐射功能，引领区域文化发展，促进各民族间文化交流与文化繁荣。学校坚持立德树人，以文化人，推进大学文化和大学精神建设，构建良好文化氛围，增强办学活力。</w:t>
      </w:r>
    </w:p>
    <w:p w:rsidR="00B87C8A" w:rsidRDefault="002D1C8A">
      <w:pPr>
        <w:pStyle w:val="a6"/>
        <w:spacing w:line="360" w:lineRule="auto"/>
        <w:ind w:firstLine="640"/>
        <w:rPr>
          <w:rFonts w:ascii="黑体" w:eastAsia="黑体" w:hAnsi="黑体" w:cs="黑体"/>
          <w:sz w:val="32"/>
          <w:szCs w:val="32"/>
        </w:rPr>
      </w:pPr>
      <w:r>
        <w:rPr>
          <w:rFonts w:ascii="黑体" w:eastAsia="黑体" w:hAnsi="黑体" w:cs="黑体"/>
          <w:sz w:val="32"/>
          <w:szCs w:val="32"/>
        </w:rPr>
        <w:t>二、机构设置</w:t>
      </w:r>
      <w:r>
        <w:rPr>
          <w:rFonts w:ascii="黑体" w:eastAsia="黑体" w:hAnsi="黑体" w:cs="黑体"/>
          <w:sz w:val="32"/>
          <w:szCs w:val="32"/>
          <w:lang w:val="zh-CN"/>
        </w:rPr>
        <w:t>及</w:t>
      </w:r>
      <w:r>
        <w:rPr>
          <w:rFonts w:ascii="黑体" w:eastAsia="黑体" w:hAnsi="黑体" w:cs="黑体"/>
          <w:sz w:val="32"/>
          <w:szCs w:val="32"/>
        </w:rPr>
        <w:t>决算单位构成</w:t>
      </w:r>
    </w:p>
    <w:p w:rsidR="00B63611" w:rsidRDefault="002D1C8A" w:rsidP="00ED4410">
      <w:pPr>
        <w:spacing w:line="360" w:lineRule="auto"/>
        <w:ind w:firstLineChars="200" w:firstLine="562"/>
        <w:rPr>
          <w:b/>
          <w:sz w:val="28"/>
          <w:szCs w:val="28"/>
        </w:rPr>
      </w:pPr>
      <w:r>
        <w:rPr>
          <w:b/>
          <w:sz w:val="28"/>
          <w:szCs w:val="28"/>
        </w:rPr>
        <w:lastRenderedPageBreak/>
        <w:t>（一）内设机构设置。</w:t>
      </w:r>
    </w:p>
    <w:p w:rsidR="00ED4410" w:rsidRDefault="00ED4410" w:rsidP="00B63611">
      <w:pPr>
        <w:spacing w:line="360" w:lineRule="auto"/>
        <w:ind w:firstLineChars="200" w:firstLine="560"/>
        <w:rPr>
          <w:sz w:val="28"/>
          <w:szCs w:val="28"/>
        </w:rPr>
      </w:pPr>
      <w:r w:rsidRPr="00ED4410">
        <w:rPr>
          <w:sz w:val="28"/>
          <w:szCs w:val="28"/>
        </w:rPr>
        <w:t>1、党政管理机构：党政办公室（简称党政办），党委组</w:t>
      </w:r>
      <w:r w:rsidR="00B11FCD">
        <w:rPr>
          <w:rFonts w:hint="eastAsia"/>
          <w:sz w:val="28"/>
          <w:szCs w:val="28"/>
        </w:rPr>
        <w:t>织部、党校（简称组织部），党委宣传部（简称</w:t>
      </w:r>
      <w:r w:rsidRPr="00ED4410">
        <w:rPr>
          <w:rFonts w:hint="eastAsia"/>
          <w:sz w:val="28"/>
          <w:szCs w:val="28"/>
        </w:rPr>
        <w:t>宣传部），党委统战部（简称统战部），党委学生工作部、团委、武装部（简称学工部、团委），党委保卫工作部（简称保卫部），发展规划与学科建设处（简称规划处），教务处（创新创业学院、教学质量监控与评估中心）（简称教务处），科研管理处（简称科研处），人事处（教师工作部）（简称人事处），研究生院，财务处，资产与实验室管理处（简称资产处），审计处，后勤管理处（简称后勤处），招生就业处（简称招就处），基建处，离退休工作处、工会（简称离退处、工会），采购与招投标办公室（简称招标办），张家界校区办公室（简称校区办）。</w:t>
      </w:r>
    </w:p>
    <w:p w:rsidR="00ED4410" w:rsidRDefault="00ED4410" w:rsidP="00ED4410">
      <w:pPr>
        <w:spacing w:line="360" w:lineRule="auto"/>
        <w:ind w:firstLineChars="200" w:firstLine="560"/>
        <w:rPr>
          <w:sz w:val="28"/>
          <w:szCs w:val="28"/>
        </w:rPr>
      </w:pPr>
      <w:r w:rsidRPr="00ED4410">
        <w:rPr>
          <w:sz w:val="28"/>
          <w:szCs w:val="28"/>
        </w:rPr>
        <w:t>2、纪检监察机构：纪委、监察专员办公室（简称纪监</w:t>
      </w:r>
      <w:r w:rsidRPr="00ED4410">
        <w:rPr>
          <w:rFonts w:hint="eastAsia"/>
          <w:sz w:val="28"/>
          <w:szCs w:val="28"/>
        </w:rPr>
        <w:t>办）。</w:t>
      </w:r>
    </w:p>
    <w:p w:rsidR="00ED4410" w:rsidRDefault="00ED4410" w:rsidP="00ED4410">
      <w:pPr>
        <w:spacing w:line="360" w:lineRule="auto"/>
        <w:ind w:firstLineChars="200" w:firstLine="560"/>
        <w:rPr>
          <w:sz w:val="28"/>
          <w:szCs w:val="28"/>
        </w:rPr>
      </w:pPr>
      <w:r w:rsidRPr="00ED4410">
        <w:rPr>
          <w:sz w:val="28"/>
          <w:szCs w:val="28"/>
        </w:rPr>
        <w:t>3、教辅机构：图书馆、信息化中心、学报编辑部（简</w:t>
      </w:r>
      <w:r w:rsidRPr="00ED4410">
        <w:rPr>
          <w:rFonts w:hint="eastAsia"/>
          <w:sz w:val="28"/>
          <w:szCs w:val="28"/>
        </w:rPr>
        <w:t>称学报）、校友工作办公室（简称校友办）、张家界校区后勤与安全事务中心（简称后勤安全中心）、张家界校区教学科研与学生事务中心（简称教科研学中心）。</w:t>
      </w:r>
    </w:p>
    <w:p w:rsidR="00ED4410" w:rsidRDefault="00ED4410" w:rsidP="00ED4410">
      <w:pPr>
        <w:spacing w:line="360" w:lineRule="auto"/>
        <w:ind w:firstLineChars="200" w:firstLine="560"/>
        <w:rPr>
          <w:sz w:val="28"/>
          <w:szCs w:val="28"/>
        </w:rPr>
      </w:pPr>
      <w:r w:rsidRPr="00ED4410">
        <w:rPr>
          <w:sz w:val="28"/>
          <w:szCs w:val="28"/>
        </w:rPr>
        <w:t>4、科研机构：杜仲综合利用技术国家地方联合工程实</w:t>
      </w:r>
      <w:r w:rsidRPr="00ED4410">
        <w:rPr>
          <w:rFonts w:hint="eastAsia"/>
          <w:sz w:val="28"/>
          <w:szCs w:val="28"/>
        </w:rPr>
        <w:t>验室（简称杜仲实验室）。</w:t>
      </w:r>
    </w:p>
    <w:p w:rsidR="00B63611" w:rsidRDefault="00ED4410" w:rsidP="00ED4410">
      <w:pPr>
        <w:spacing w:line="360" w:lineRule="auto"/>
        <w:ind w:firstLineChars="200" w:firstLine="560"/>
        <w:rPr>
          <w:sz w:val="28"/>
          <w:szCs w:val="28"/>
        </w:rPr>
      </w:pPr>
      <w:r w:rsidRPr="00ED4410">
        <w:rPr>
          <w:sz w:val="28"/>
          <w:szCs w:val="28"/>
        </w:rPr>
        <w:t>5、学院系部：文学与新闻传播学院（简称文传学院）、</w:t>
      </w:r>
      <w:r w:rsidRPr="00ED4410">
        <w:rPr>
          <w:rFonts w:hint="eastAsia"/>
          <w:sz w:val="28"/>
          <w:szCs w:val="28"/>
        </w:rPr>
        <w:t>人文学院、外国语学院、马克思主义学院（简称马院）、商学院、体育科学学院（简称体育学院）、数学与统计学院（简称数统学院）、物理与机电工程学院（简称</w:t>
      </w:r>
      <w:proofErr w:type="gramStart"/>
      <w:r w:rsidRPr="00ED4410">
        <w:rPr>
          <w:rFonts w:hint="eastAsia"/>
          <w:sz w:val="28"/>
          <w:szCs w:val="28"/>
        </w:rPr>
        <w:t>物电学院</w:t>
      </w:r>
      <w:proofErr w:type="gramEnd"/>
      <w:r w:rsidRPr="00ED4410">
        <w:rPr>
          <w:rFonts w:hint="eastAsia"/>
          <w:sz w:val="28"/>
          <w:szCs w:val="28"/>
        </w:rPr>
        <w:t>）、通信与电子工程学院（简称通信学院）、计算机科学与工程学院（简称计算机学院）、化学化工学院（简称化工学院）、生物资源与环境科学学院（简称资环学院）、土木工程与建筑学院（简</w:t>
      </w:r>
      <w:r w:rsidRPr="00ED4410">
        <w:rPr>
          <w:rFonts w:hint="eastAsia"/>
          <w:sz w:val="28"/>
          <w:szCs w:val="28"/>
        </w:rPr>
        <w:lastRenderedPageBreak/>
        <w:t>称土木学院）、旅游学院、医学院、药学院、法学与公共管理学院（简称法管学院）、音乐舞蹈学院（简称音舞学院）、美术学院、民族预科教育学院（简称预科学院）、教师教育学院（简称教育学院）、继续教育学院。</w:t>
      </w:r>
    </w:p>
    <w:p w:rsidR="00B87C8A" w:rsidRPr="00B63611" w:rsidRDefault="002D1C8A" w:rsidP="00B63611">
      <w:pPr>
        <w:spacing w:line="360" w:lineRule="auto"/>
        <w:ind w:firstLineChars="200" w:firstLine="562"/>
        <w:rPr>
          <w:b/>
          <w:sz w:val="28"/>
          <w:szCs w:val="28"/>
        </w:rPr>
      </w:pPr>
      <w:r>
        <w:rPr>
          <w:b/>
          <w:sz w:val="28"/>
          <w:szCs w:val="28"/>
        </w:rPr>
        <w:t>（二）决算单位构成。</w:t>
      </w:r>
      <w:r>
        <w:rPr>
          <w:sz w:val="28"/>
          <w:szCs w:val="28"/>
        </w:rPr>
        <w:t>吉首大学部门决算报表公开单位构成包括： 吉首大学校本部，不含吉首大学师范学院和吉首大学张家界学院。</w:t>
      </w:r>
    </w:p>
    <w:p w:rsidR="00B63611" w:rsidRDefault="00B63611" w:rsidP="00B63611">
      <w:pPr>
        <w:autoSpaceDE w:val="0"/>
        <w:autoSpaceDN w:val="0"/>
        <w:adjustRightInd w:val="0"/>
        <w:rPr>
          <w:rFonts w:ascii="黑体" w:eastAsia="黑体" w:hAnsi="Times New Roman" w:cs="黑体"/>
          <w:sz w:val="96"/>
          <w:szCs w:val="96"/>
        </w:rPr>
      </w:pPr>
    </w:p>
    <w:p w:rsidR="00B87C8A" w:rsidRDefault="00B87C8A">
      <w:pPr>
        <w:autoSpaceDE w:val="0"/>
        <w:autoSpaceDN w:val="0"/>
        <w:adjustRightInd w:val="0"/>
        <w:jc w:val="center"/>
        <w:rPr>
          <w:rFonts w:ascii="黑体" w:eastAsia="黑体" w:hAnsi="Times New Roman" w:cs="黑体"/>
          <w:sz w:val="96"/>
          <w:szCs w:val="96"/>
        </w:rPr>
      </w:pPr>
    </w:p>
    <w:p w:rsidR="00B87C8A" w:rsidRDefault="00B87C8A" w:rsidP="00EC77AB">
      <w:pPr>
        <w:autoSpaceDE w:val="0"/>
        <w:autoSpaceDN w:val="0"/>
        <w:adjustRightInd w:val="0"/>
        <w:spacing w:afterLines="50" w:after="120"/>
        <w:jc w:val="center"/>
        <w:rPr>
          <w:rFonts w:ascii="黑体" w:eastAsia="黑体" w:hAnsi="Times New Roman" w:cs="黑体"/>
          <w:sz w:val="48"/>
          <w:szCs w:val="48"/>
        </w:rPr>
      </w:pPr>
    </w:p>
    <w:p w:rsidR="00B87C8A" w:rsidRDefault="00B87C8A" w:rsidP="00EC77AB">
      <w:pPr>
        <w:autoSpaceDE w:val="0"/>
        <w:autoSpaceDN w:val="0"/>
        <w:adjustRightInd w:val="0"/>
        <w:spacing w:afterLines="50" w:after="120"/>
        <w:jc w:val="center"/>
        <w:rPr>
          <w:rFonts w:ascii="黑体" w:eastAsia="黑体" w:hAnsi="Times New Roman" w:cs="黑体"/>
          <w:sz w:val="84"/>
          <w:szCs w:val="84"/>
        </w:rPr>
      </w:pPr>
    </w:p>
    <w:p w:rsidR="00612DDE" w:rsidRDefault="00612DDE" w:rsidP="00EC77AB">
      <w:pPr>
        <w:autoSpaceDE w:val="0"/>
        <w:autoSpaceDN w:val="0"/>
        <w:adjustRightInd w:val="0"/>
        <w:spacing w:afterLines="50" w:after="120"/>
        <w:jc w:val="center"/>
        <w:rPr>
          <w:rFonts w:ascii="黑体" w:eastAsia="黑体" w:hAnsi="Times New Roman" w:cs="黑体"/>
          <w:sz w:val="84"/>
          <w:szCs w:val="84"/>
        </w:rPr>
      </w:pPr>
    </w:p>
    <w:p w:rsidR="00612DDE" w:rsidRDefault="00612DDE" w:rsidP="00EC77AB">
      <w:pPr>
        <w:autoSpaceDE w:val="0"/>
        <w:autoSpaceDN w:val="0"/>
        <w:adjustRightInd w:val="0"/>
        <w:spacing w:afterLines="50" w:after="120"/>
        <w:jc w:val="center"/>
        <w:rPr>
          <w:rFonts w:ascii="黑体" w:eastAsia="黑体" w:hAnsi="Times New Roman" w:cs="黑体"/>
          <w:sz w:val="84"/>
          <w:szCs w:val="84"/>
        </w:rPr>
      </w:pPr>
    </w:p>
    <w:p w:rsidR="00612DDE" w:rsidRDefault="00612DDE" w:rsidP="00EC77AB">
      <w:pPr>
        <w:autoSpaceDE w:val="0"/>
        <w:autoSpaceDN w:val="0"/>
        <w:adjustRightInd w:val="0"/>
        <w:spacing w:afterLines="50" w:after="120"/>
        <w:jc w:val="center"/>
        <w:rPr>
          <w:rFonts w:ascii="黑体" w:eastAsia="黑体" w:hAnsi="Times New Roman" w:cs="黑体"/>
          <w:sz w:val="84"/>
          <w:szCs w:val="84"/>
        </w:rPr>
      </w:pPr>
    </w:p>
    <w:p w:rsidR="00612DDE" w:rsidRDefault="00612DDE" w:rsidP="00EC77AB">
      <w:pPr>
        <w:autoSpaceDE w:val="0"/>
        <w:autoSpaceDN w:val="0"/>
        <w:adjustRightInd w:val="0"/>
        <w:spacing w:afterLines="50" w:after="120"/>
        <w:jc w:val="center"/>
        <w:rPr>
          <w:rFonts w:ascii="黑体" w:eastAsia="黑体" w:hAnsi="Times New Roman" w:cs="黑体"/>
          <w:sz w:val="84"/>
          <w:szCs w:val="84"/>
        </w:rPr>
      </w:pPr>
    </w:p>
    <w:p w:rsidR="00612DDE" w:rsidRDefault="00612DDE" w:rsidP="00EC77AB">
      <w:pPr>
        <w:autoSpaceDE w:val="0"/>
        <w:autoSpaceDN w:val="0"/>
        <w:adjustRightInd w:val="0"/>
        <w:spacing w:afterLines="50" w:after="120"/>
        <w:jc w:val="center"/>
        <w:rPr>
          <w:rFonts w:ascii="黑体" w:eastAsia="黑体" w:hAnsi="Times New Roman" w:cs="黑体"/>
          <w:sz w:val="84"/>
          <w:szCs w:val="84"/>
        </w:rPr>
      </w:pPr>
    </w:p>
    <w:p w:rsidR="00612DDE" w:rsidRDefault="00612DDE" w:rsidP="00EC77AB">
      <w:pPr>
        <w:autoSpaceDE w:val="0"/>
        <w:autoSpaceDN w:val="0"/>
        <w:adjustRightInd w:val="0"/>
        <w:spacing w:afterLines="50" w:after="120"/>
        <w:jc w:val="center"/>
        <w:rPr>
          <w:rFonts w:ascii="黑体" w:eastAsia="黑体" w:hAnsi="Times New Roman" w:cs="黑体"/>
          <w:sz w:val="84"/>
          <w:szCs w:val="84"/>
        </w:rPr>
      </w:pPr>
    </w:p>
    <w:p w:rsidR="00B87C8A" w:rsidRDefault="002D1C8A" w:rsidP="00EC77AB">
      <w:pPr>
        <w:autoSpaceDE w:val="0"/>
        <w:autoSpaceDN w:val="0"/>
        <w:adjustRightInd w:val="0"/>
        <w:spacing w:afterLines="50" w:after="120"/>
        <w:jc w:val="center"/>
        <w:rPr>
          <w:rFonts w:ascii="黑体" w:eastAsia="黑体" w:hAnsi="Times New Roman" w:cs="黑体"/>
          <w:sz w:val="84"/>
          <w:szCs w:val="84"/>
        </w:rPr>
      </w:pPr>
      <w:r>
        <w:rPr>
          <w:rFonts w:ascii="黑体" w:eastAsia="黑体" w:hAnsi="Times New Roman" w:cs="黑体"/>
          <w:sz w:val="84"/>
          <w:szCs w:val="84"/>
        </w:rPr>
        <w:t>第二部分</w:t>
      </w:r>
    </w:p>
    <w:p w:rsidR="00B87C8A" w:rsidRDefault="002D1C8A" w:rsidP="00EC77AB">
      <w:pPr>
        <w:autoSpaceDE w:val="0"/>
        <w:autoSpaceDN w:val="0"/>
        <w:adjustRightInd w:val="0"/>
        <w:spacing w:beforeLines="100" w:before="240"/>
        <w:jc w:val="center"/>
        <w:rPr>
          <w:rFonts w:ascii="黑体" w:eastAsia="黑体" w:hAnsi="Times New Roman" w:cs="黑体"/>
          <w:sz w:val="96"/>
          <w:szCs w:val="96"/>
          <w:lang w:val="zh-CN"/>
        </w:rPr>
        <w:sectPr w:rsidR="00B87C8A" w:rsidSect="00612DDE">
          <w:pgSz w:w="12240" w:h="15840"/>
          <w:pgMar w:top="1440" w:right="1800" w:bottom="1440" w:left="1800" w:header="720" w:footer="720" w:gutter="0"/>
          <w:cols w:space="720"/>
          <w:docGrid w:linePitch="326"/>
        </w:sectPr>
      </w:pPr>
      <w:r>
        <w:rPr>
          <w:rFonts w:ascii="黑体" w:eastAsia="黑体" w:hAnsi="Times New Roman" w:cs="黑体"/>
          <w:sz w:val="84"/>
          <w:szCs w:val="84"/>
          <w:lang w:val="zh-CN"/>
        </w:rPr>
        <w:t>吉首大学</w:t>
      </w:r>
      <w:r w:rsidR="00CA5E48">
        <w:rPr>
          <w:rFonts w:ascii="黑体" w:eastAsia="黑体" w:hAnsi="Times New Roman" w:cs="黑体"/>
          <w:sz w:val="84"/>
          <w:szCs w:val="84"/>
          <w:lang w:val="zh-CN"/>
        </w:rPr>
        <w:t>202</w:t>
      </w:r>
      <w:r w:rsidR="00685D71">
        <w:rPr>
          <w:rFonts w:ascii="黑体" w:eastAsia="黑体" w:hAnsi="Times New Roman" w:cs="黑体" w:hint="eastAsia"/>
          <w:sz w:val="84"/>
          <w:szCs w:val="84"/>
          <w:lang w:val="zh-CN"/>
        </w:rPr>
        <w:t>3</w:t>
      </w:r>
      <w:r>
        <w:rPr>
          <w:rFonts w:ascii="黑体" w:eastAsia="黑体" w:hAnsi="Times New Roman" w:cs="黑体"/>
          <w:sz w:val="84"/>
          <w:szCs w:val="84"/>
          <w:lang w:val="zh-CN"/>
        </w:rPr>
        <w:t>年度部门决算表</w:t>
      </w:r>
    </w:p>
    <w:tbl>
      <w:tblPr>
        <w:tblW w:w="15224" w:type="dxa"/>
        <w:tblInd w:w="96" w:type="dxa"/>
        <w:tblLayout w:type="fixed"/>
        <w:tblLook w:val="04A0" w:firstRow="1" w:lastRow="0" w:firstColumn="1" w:lastColumn="0" w:noHBand="0" w:noVBand="1"/>
      </w:tblPr>
      <w:tblGrid>
        <w:gridCol w:w="3896"/>
        <w:gridCol w:w="1656"/>
        <w:gridCol w:w="1872"/>
        <w:gridCol w:w="3984"/>
        <w:gridCol w:w="1872"/>
        <w:gridCol w:w="1944"/>
      </w:tblGrid>
      <w:tr w:rsidR="00B87C8A">
        <w:trPr>
          <w:trHeight w:val="384"/>
        </w:trPr>
        <w:tc>
          <w:tcPr>
            <w:tcW w:w="15224" w:type="dxa"/>
            <w:gridSpan w:val="6"/>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一、收入支出决算总表</w:t>
            </w:r>
          </w:p>
        </w:tc>
      </w:tr>
      <w:tr w:rsidR="00B87C8A">
        <w:trPr>
          <w:trHeight w:val="264"/>
        </w:trPr>
        <w:tc>
          <w:tcPr>
            <w:tcW w:w="389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98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944"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公开01表</w:t>
            </w:r>
          </w:p>
        </w:tc>
      </w:tr>
      <w:tr w:rsidR="00B87C8A">
        <w:trPr>
          <w:trHeight w:val="264"/>
        </w:trPr>
        <w:tc>
          <w:tcPr>
            <w:tcW w:w="3896" w:type="dxa"/>
            <w:tcBorders>
              <w:top w:val="nil"/>
              <w:left w:val="nil"/>
              <w:bottom w:val="nil"/>
              <w:right w:val="nil"/>
              <w:tl2br w:val="nil"/>
              <w:tr2bl w:val="nil"/>
            </w:tcBorders>
            <w:noWrap/>
            <w:vAlign w:val="bottom"/>
          </w:tcPr>
          <w:p w:rsidR="00B87C8A" w:rsidRPr="00B237E9" w:rsidRDefault="002D1C8A">
            <w:pPr>
              <w:textAlignment w:val="bottom"/>
              <w:rPr>
                <w:color w:val="000000"/>
                <w:sz w:val="20"/>
                <w:szCs w:val="20"/>
              </w:rPr>
            </w:pPr>
            <w:r w:rsidRPr="00B237E9">
              <w:rPr>
                <w:color w:val="000000"/>
                <w:sz w:val="20"/>
                <w:szCs w:val="20"/>
              </w:rPr>
              <w:t>部门：吉首大学</w:t>
            </w:r>
          </w:p>
        </w:tc>
        <w:tc>
          <w:tcPr>
            <w:tcW w:w="1656"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3984"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1944" w:type="dxa"/>
            <w:tcBorders>
              <w:top w:val="nil"/>
              <w:left w:val="nil"/>
              <w:bottom w:val="nil"/>
              <w:right w:val="nil"/>
              <w:tl2br w:val="nil"/>
              <w:tr2bl w:val="nil"/>
            </w:tcBorders>
            <w:noWrap/>
            <w:vAlign w:val="bottom"/>
          </w:tcPr>
          <w:p w:rsidR="00B87C8A" w:rsidRPr="00B237E9" w:rsidRDefault="002D1C8A">
            <w:pPr>
              <w:jc w:val="right"/>
              <w:textAlignment w:val="bottom"/>
              <w:rPr>
                <w:color w:val="000000"/>
                <w:sz w:val="20"/>
                <w:szCs w:val="20"/>
              </w:rPr>
            </w:pPr>
            <w:r w:rsidRPr="00B237E9">
              <w:rPr>
                <w:color w:val="000000"/>
                <w:sz w:val="20"/>
                <w:szCs w:val="20"/>
              </w:rPr>
              <w:t>金额单位：万元</w:t>
            </w:r>
          </w:p>
        </w:tc>
      </w:tr>
      <w:tr w:rsidR="00B87C8A">
        <w:trPr>
          <w:trHeight w:val="308"/>
        </w:trPr>
        <w:tc>
          <w:tcPr>
            <w:tcW w:w="7424"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收入</w:t>
            </w:r>
          </w:p>
        </w:tc>
        <w:tc>
          <w:tcPr>
            <w:tcW w:w="7800"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支出</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项目</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行次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金额</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项目</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行次</w:t>
            </w:r>
          </w:p>
        </w:tc>
        <w:tc>
          <w:tcPr>
            <w:tcW w:w="194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金额</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栏次</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B87C8A">
            <w:pPr>
              <w:jc w:val="center"/>
              <w:rPr>
                <w:color w:val="000000"/>
                <w:sz w:val="22"/>
              </w:rPr>
            </w:pP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1</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栏次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B87C8A">
            <w:pPr>
              <w:jc w:val="center"/>
              <w:rPr>
                <w:color w:val="000000"/>
                <w:sz w:val="22"/>
              </w:rPr>
            </w:pPr>
          </w:p>
        </w:tc>
        <w:tc>
          <w:tcPr>
            <w:tcW w:w="194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2</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一、一般公共预算财政拨款收入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685D71" w:rsidP="0084256A">
            <w:pPr>
              <w:jc w:val="right"/>
              <w:rPr>
                <w:color w:val="000000"/>
                <w:sz w:val="22"/>
              </w:rPr>
            </w:pPr>
            <w:r w:rsidRPr="00685D71">
              <w:rPr>
                <w:color w:val="000000"/>
                <w:sz w:val="22"/>
              </w:rPr>
              <w:t>52,866.05</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一、一般公共服务支出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32.62</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二、政府性基金预算财政拨款收入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二、外交支出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33</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三、国有资本经营预算财政拨款收入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三、国防支出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34</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四、上级补助收入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四、公共安全支出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35</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五、事业收入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685D71" w:rsidP="0084256A">
            <w:pPr>
              <w:jc w:val="right"/>
              <w:textAlignment w:val="center"/>
              <w:rPr>
                <w:color w:val="000000"/>
                <w:sz w:val="22"/>
              </w:rPr>
            </w:pPr>
            <w:r w:rsidRPr="00685D71">
              <w:rPr>
                <w:color w:val="000000"/>
                <w:sz w:val="22"/>
              </w:rPr>
              <w:t>23,949.93</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五、教育支出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36</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72,434.85</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六、经营收入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6</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六、科学技术支出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37</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398.20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七、附属单位上缴收入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7</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七、文化旅游体育与传媒支出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38</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50.00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八、其他收入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685D71" w:rsidP="0084256A">
            <w:pPr>
              <w:jc w:val="right"/>
              <w:textAlignment w:val="center"/>
              <w:rPr>
                <w:color w:val="000000"/>
                <w:sz w:val="22"/>
              </w:rPr>
            </w:pPr>
            <w:r w:rsidRPr="00685D71">
              <w:rPr>
                <w:color w:val="000000"/>
                <w:sz w:val="22"/>
              </w:rPr>
              <w:t>3,021.59</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八、社会保障和就业支出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39</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15.22</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九、卫生健康支出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40</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372.28</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十、节能环保支出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41</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10.00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十一、城乡社区支出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十二、农林水支出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43</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十三、交通运输支出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44</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十四、资源勘探工业信息等支出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45</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十五、商业服务业等支出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46</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16</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十六、金融支出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47</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17</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十七、援助其他地区支出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48</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十八、自然资源海洋气象等支出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49</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十九、住房保障支出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50</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二十、粮油物资储备支出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51</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二十一、国有资本经营预算支出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二十二、灾害防治及应急管理支出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53</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二十三、其他支出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54</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b/>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0"/>
                <w:szCs w:val="20"/>
              </w:rPr>
            </w:pPr>
            <w:r>
              <w:rPr>
                <w:color w:val="000000"/>
                <w:sz w:val="20"/>
                <w:szCs w:val="20"/>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二十四、债务还本支出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55</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0"/>
                <w:szCs w:val="20"/>
              </w:rPr>
            </w:pPr>
            <w:r>
              <w:rPr>
                <w:color w:val="000000"/>
                <w:sz w:val="20"/>
                <w:szCs w:val="20"/>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二十五、债务付息支出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56</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auto"/>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auto"/>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26</w:t>
            </w:r>
          </w:p>
        </w:tc>
        <w:tc>
          <w:tcPr>
            <w:tcW w:w="1872" w:type="dxa"/>
            <w:tcBorders>
              <w:top w:val="nil"/>
              <w:left w:val="nil"/>
              <w:bottom w:val="single" w:sz="4" w:space="0" w:color="auto"/>
              <w:right w:val="single" w:sz="4" w:space="0" w:color="000000"/>
              <w:tl2br w:val="nil"/>
              <w:tr2bl w:val="nil"/>
            </w:tcBorders>
            <w:shd w:val="clear" w:color="auto" w:fill="auto"/>
            <w:noWrap/>
            <w:vAlign w:val="center"/>
          </w:tcPr>
          <w:p w:rsidR="0084256A" w:rsidRDefault="0084256A">
            <w:pPr>
              <w:jc w:val="right"/>
              <w:rPr>
                <w:color w:val="000000"/>
                <w:sz w:val="20"/>
                <w:szCs w:val="20"/>
              </w:rPr>
            </w:pPr>
            <w:r>
              <w:rPr>
                <w:color w:val="000000"/>
                <w:sz w:val="20"/>
                <w:szCs w:val="20"/>
              </w:rPr>
              <w:t xml:space="preserve">　</w:t>
            </w:r>
          </w:p>
        </w:tc>
        <w:tc>
          <w:tcPr>
            <w:tcW w:w="3984" w:type="dxa"/>
            <w:tcBorders>
              <w:top w:val="nil"/>
              <w:left w:val="nil"/>
              <w:bottom w:val="single" w:sz="4" w:space="0" w:color="auto"/>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二十六、抗</w:t>
            </w:r>
            <w:proofErr w:type="gramStart"/>
            <w:r w:rsidRPr="00B237E9">
              <w:rPr>
                <w:color w:val="000000"/>
                <w:sz w:val="22"/>
              </w:rPr>
              <w:t>疫</w:t>
            </w:r>
            <w:proofErr w:type="gramEnd"/>
            <w:r w:rsidRPr="00B237E9">
              <w:rPr>
                <w:color w:val="000000"/>
                <w:sz w:val="22"/>
              </w:rPr>
              <w:t>特别国债安排的支出</w:t>
            </w:r>
          </w:p>
        </w:tc>
        <w:tc>
          <w:tcPr>
            <w:tcW w:w="1872" w:type="dxa"/>
            <w:tcBorders>
              <w:top w:val="nil"/>
              <w:left w:val="nil"/>
              <w:bottom w:val="single" w:sz="4" w:space="0" w:color="auto"/>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57</w:t>
            </w:r>
          </w:p>
        </w:tc>
        <w:tc>
          <w:tcPr>
            <w:tcW w:w="1944"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single" w:sz="4" w:space="0" w:color="auto"/>
              <w:left w:val="single" w:sz="4" w:space="0" w:color="auto"/>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lastRenderedPageBreak/>
              <w:t>本年收入合计</w:t>
            </w:r>
          </w:p>
        </w:tc>
        <w:tc>
          <w:tcPr>
            <w:tcW w:w="1656"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27</w:t>
            </w:r>
          </w:p>
        </w:tc>
        <w:tc>
          <w:tcPr>
            <w:tcW w:w="1872" w:type="dxa"/>
            <w:tcBorders>
              <w:top w:val="single" w:sz="4" w:space="0" w:color="auto"/>
              <w:left w:val="nil"/>
              <w:bottom w:val="single" w:sz="4" w:space="0" w:color="000000"/>
              <w:right w:val="single" w:sz="4" w:space="0" w:color="000000"/>
              <w:tl2br w:val="nil"/>
              <w:tr2bl w:val="nil"/>
            </w:tcBorders>
            <w:shd w:val="clear" w:color="auto" w:fill="auto"/>
            <w:noWrap/>
            <w:vAlign w:val="center"/>
          </w:tcPr>
          <w:p w:rsidR="0084256A" w:rsidRPr="0084256A" w:rsidRDefault="00685D71" w:rsidP="0084256A">
            <w:pPr>
              <w:jc w:val="right"/>
              <w:textAlignment w:val="center"/>
              <w:rPr>
                <w:color w:val="000000"/>
                <w:sz w:val="22"/>
              </w:rPr>
            </w:pPr>
            <w:r w:rsidRPr="00685D71">
              <w:rPr>
                <w:color w:val="000000"/>
                <w:sz w:val="22"/>
              </w:rPr>
              <w:t>79,837.56</w:t>
            </w:r>
          </w:p>
        </w:tc>
        <w:tc>
          <w:tcPr>
            <w:tcW w:w="3984"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t>本年支出合计</w:t>
            </w:r>
          </w:p>
        </w:tc>
        <w:tc>
          <w:tcPr>
            <w:tcW w:w="1872"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58</w:t>
            </w:r>
          </w:p>
        </w:tc>
        <w:tc>
          <w:tcPr>
            <w:tcW w:w="1944"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73,313.18</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使用非财政拨款结余</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28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结余分配</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59</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4,702.46</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年初结转和结余</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29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685D71" w:rsidP="0084256A">
            <w:pPr>
              <w:jc w:val="right"/>
              <w:textAlignment w:val="center"/>
              <w:rPr>
                <w:color w:val="000000"/>
                <w:sz w:val="22"/>
              </w:rPr>
            </w:pPr>
            <w:r w:rsidRPr="00685D71">
              <w:rPr>
                <w:color w:val="000000"/>
                <w:sz w:val="22"/>
              </w:rPr>
              <w:t>6,643.40</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年末结转和结余</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60</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8,465.32</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rPr>
                <w:color w:val="000000"/>
                <w:sz w:val="20"/>
                <w:szCs w:val="20"/>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30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rPr>
                <w:color w:val="000000"/>
                <w:sz w:val="20"/>
                <w:szCs w:val="20"/>
              </w:rPr>
            </w:pP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61</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 xml:space="preserve">　</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t>总计</w:t>
            </w:r>
          </w:p>
        </w:tc>
        <w:tc>
          <w:tcPr>
            <w:tcW w:w="1656" w:type="dxa"/>
            <w:tcBorders>
              <w:top w:val="nil"/>
              <w:left w:val="nil"/>
              <w:bottom w:val="single" w:sz="8"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31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685D71" w:rsidP="0084256A">
            <w:pPr>
              <w:jc w:val="right"/>
              <w:textAlignment w:val="center"/>
              <w:rPr>
                <w:color w:val="000000"/>
                <w:sz w:val="22"/>
              </w:rPr>
            </w:pPr>
            <w:r w:rsidRPr="00685D71">
              <w:rPr>
                <w:color w:val="000000"/>
                <w:sz w:val="22"/>
              </w:rPr>
              <w:t>86,480.96</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t>总计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62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685D71" w:rsidP="0084256A">
            <w:pPr>
              <w:jc w:val="right"/>
              <w:textAlignment w:val="center"/>
              <w:rPr>
                <w:color w:val="000000"/>
                <w:sz w:val="22"/>
              </w:rPr>
            </w:pPr>
            <w:r w:rsidRPr="00685D71">
              <w:rPr>
                <w:color w:val="000000"/>
                <w:sz w:val="22"/>
              </w:rPr>
              <w:t>86,480.96</w:t>
            </w:r>
          </w:p>
        </w:tc>
      </w:tr>
      <w:tr w:rsidR="00B87C8A">
        <w:trPr>
          <w:trHeight w:val="308"/>
        </w:trPr>
        <w:tc>
          <w:tcPr>
            <w:tcW w:w="15224" w:type="dxa"/>
            <w:gridSpan w:val="6"/>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注：本表反映部门本年度的总收支和年末结转结余情况。本套报表金额单位转换时可能存在尾数误差。</w:t>
            </w:r>
          </w:p>
          <w:p w:rsidR="00BA29D2" w:rsidRPr="00BA29D2" w:rsidRDefault="00BA29D2">
            <w:pPr>
              <w:textAlignment w:val="center"/>
              <w:rPr>
                <w:color w:val="000000"/>
                <w:sz w:val="22"/>
              </w:rPr>
            </w:pPr>
          </w:p>
        </w:tc>
      </w:tr>
    </w:tbl>
    <w:p w:rsidR="00B87C8A" w:rsidRPr="00BA29D2" w:rsidRDefault="00B87C8A">
      <w:pPr>
        <w:spacing w:line="600" w:lineRule="exact"/>
        <w:jc w:val="center"/>
        <w:rPr>
          <w:rFonts w:ascii="黑体" w:eastAsia="黑体" w:hAnsi="Times New Roman" w:cs="黑体"/>
          <w:sz w:val="32"/>
          <w:szCs w:val="32"/>
        </w:rPr>
        <w:sectPr w:rsidR="00B87C8A" w:rsidRPr="00BA29D2">
          <w:pgSz w:w="16838" w:h="11906" w:orient="landscape"/>
          <w:pgMar w:top="720" w:right="873" w:bottom="720" w:left="720" w:header="720" w:footer="720" w:gutter="0"/>
          <w:cols w:space="720"/>
        </w:sectPr>
      </w:pPr>
    </w:p>
    <w:tbl>
      <w:tblPr>
        <w:tblW w:w="0" w:type="auto"/>
        <w:tblInd w:w="96" w:type="dxa"/>
        <w:tblLayout w:type="fixed"/>
        <w:tblLook w:val="04A0" w:firstRow="1" w:lastRow="0" w:firstColumn="1" w:lastColumn="0" w:noHBand="0" w:noVBand="1"/>
      </w:tblPr>
      <w:tblGrid>
        <w:gridCol w:w="1430"/>
        <w:gridCol w:w="546"/>
        <w:gridCol w:w="3139"/>
        <w:gridCol w:w="963"/>
        <w:gridCol w:w="456"/>
        <w:gridCol w:w="822"/>
        <w:gridCol w:w="597"/>
        <w:gridCol w:w="939"/>
        <w:gridCol w:w="480"/>
        <w:gridCol w:w="895"/>
        <w:gridCol w:w="525"/>
        <w:gridCol w:w="630"/>
        <w:gridCol w:w="789"/>
        <w:gridCol w:w="96"/>
        <w:gridCol w:w="1323"/>
        <w:gridCol w:w="868"/>
        <w:gridCol w:w="552"/>
      </w:tblGrid>
      <w:tr w:rsidR="00B87C8A" w:rsidTr="00C4487C">
        <w:trPr>
          <w:gridAfter w:val="1"/>
          <w:wAfter w:w="552" w:type="dxa"/>
          <w:trHeight w:val="384"/>
        </w:trPr>
        <w:tc>
          <w:tcPr>
            <w:tcW w:w="14498" w:type="dxa"/>
            <w:gridSpan w:val="16"/>
            <w:tcBorders>
              <w:top w:val="nil"/>
              <w:left w:val="nil"/>
              <w:bottom w:val="nil"/>
              <w:right w:val="nil"/>
              <w:tl2br w:val="nil"/>
              <w:tr2bl w:val="nil"/>
            </w:tcBorders>
            <w:noWrap/>
            <w:vAlign w:val="bottom"/>
          </w:tcPr>
          <w:p w:rsidR="00B87C8A" w:rsidRDefault="002D1C8A">
            <w:pPr>
              <w:tabs>
                <w:tab w:val="left" w:pos="1470"/>
              </w:tabs>
              <w:jc w:val="center"/>
              <w:textAlignment w:val="bottom"/>
              <w:rPr>
                <w:color w:val="000000"/>
                <w:sz w:val="30"/>
                <w:szCs w:val="30"/>
              </w:rPr>
            </w:pPr>
            <w:r>
              <w:rPr>
                <w:color w:val="000000"/>
                <w:sz w:val="30"/>
                <w:szCs w:val="30"/>
              </w:rPr>
              <w:lastRenderedPageBreak/>
              <w:t>二、收入决算表</w:t>
            </w:r>
          </w:p>
        </w:tc>
      </w:tr>
      <w:tr w:rsidR="00B87C8A" w:rsidTr="00C4487C">
        <w:trPr>
          <w:trHeight w:val="288"/>
        </w:trPr>
        <w:tc>
          <w:tcPr>
            <w:tcW w:w="1976"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139"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96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78"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6"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75"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155"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85"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743" w:type="dxa"/>
            <w:gridSpan w:val="3"/>
            <w:tcBorders>
              <w:top w:val="nil"/>
              <w:left w:val="nil"/>
              <w:bottom w:val="nil"/>
              <w:right w:val="nil"/>
              <w:tl2br w:val="nil"/>
              <w:tr2bl w:val="nil"/>
            </w:tcBorders>
            <w:noWrap/>
            <w:vAlign w:val="bottom"/>
          </w:tcPr>
          <w:p w:rsidR="00B87C8A" w:rsidRDefault="002D1C8A">
            <w:pPr>
              <w:jc w:val="center"/>
              <w:textAlignment w:val="bottom"/>
              <w:rPr>
                <w:color w:val="000000"/>
                <w:sz w:val="20"/>
                <w:szCs w:val="20"/>
              </w:rPr>
            </w:pPr>
            <w:r>
              <w:rPr>
                <w:color w:val="000000"/>
                <w:sz w:val="20"/>
                <w:szCs w:val="20"/>
              </w:rPr>
              <w:t>公开02表</w:t>
            </w:r>
          </w:p>
        </w:tc>
      </w:tr>
      <w:tr w:rsidR="00B87C8A" w:rsidTr="00C4487C">
        <w:trPr>
          <w:trHeight w:val="264"/>
        </w:trPr>
        <w:tc>
          <w:tcPr>
            <w:tcW w:w="5115" w:type="dxa"/>
            <w:gridSpan w:val="3"/>
            <w:tcBorders>
              <w:top w:val="nil"/>
              <w:left w:val="nil"/>
              <w:bottom w:val="nil"/>
              <w:right w:val="nil"/>
              <w:tl2br w:val="nil"/>
              <w:tr2bl w:val="nil"/>
            </w:tcBorders>
            <w:noWrap/>
            <w:vAlign w:val="bottom"/>
          </w:tcPr>
          <w:p w:rsidR="00B87C8A" w:rsidRDefault="002D1C8A">
            <w:pPr>
              <w:rPr>
                <w:rFonts w:ascii="Arial" w:hAnsi="Arial" w:cs="Arial"/>
                <w:color w:val="000000"/>
                <w:sz w:val="20"/>
                <w:szCs w:val="20"/>
              </w:rPr>
            </w:pPr>
            <w:r>
              <w:rPr>
                <w:color w:val="000000"/>
                <w:sz w:val="20"/>
                <w:szCs w:val="20"/>
              </w:rPr>
              <w:t>部门：吉首大学</w:t>
            </w:r>
          </w:p>
        </w:tc>
        <w:tc>
          <w:tcPr>
            <w:tcW w:w="96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78"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6"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75"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155"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85"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743" w:type="dxa"/>
            <w:gridSpan w:val="3"/>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金额单位：万元</w:t>
            </w:r>
          </w:p>
        </w:tc>
      </w:tr>
      <w:tr w:rsidR="00B87C8A" w:rsidTr="00C4487C">
        <w:trPr>
          <w:trHeight w:val="308"/>
        </w:trPr>
        <w:tc>
          <w:tcPr>
            <w:tcW w:w="5115"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项目</w:t>
            </w:r>
          </w:p>
        </w:tc>
        <w:tc>
          <w:tcPr>
            <w:tcW w:w="1419"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本年收入合计</w:t>
            </w:r>
          </w:p>
        </w:tc>
        <w:tc>
          <w:tcPr>
            <w:tcW w:w="1419"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财政拨款收入</w:t>
            </w:r>
          </w:p>
        </w:tc>
        <w:tc>
          <w:tcPr>
            <w:tcW w:w="1419"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上级补助收入</w:t>
            </w:r>
          </w:p>
        </w:tc>
        <w:tc>
          <w:tcPr>
            <w:tcW w:w="1420"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事业收入</w:t>
            </w:r>
          </w:p>
        </w:tc>
        <w:tc>
          <w:tcPr>
            <w:tcW w:w="1419"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经营收入</w:t>
            </w:r>
          </w:p>
        </w:tc>
        <w:tc>
          <w:tcPr>
            <w:tcW w:w="1419"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附属单位上缴收入</w:t>
            </w:r>
          </w:p>
        </w:tc>
        <w:tc>
          <w:tcPr>
            <w:tcW w:w="1420"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其他收入</w:t>
            </w:r>
          </w:p>
        </w:tc>
      </w:tr>
      <w:tr w:rsidR="00B87C8A" w:rsidTr="00C4487C">
        <w:trPr>
          <w:trHeight w:val="308"/>
        </w:trPr>
        <w:tc>
          <w:tcPr>
            <w:tcW w:w="1430"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功能分类科目编码</w:t>
            </w:r>
          </w:p>
        </w:tc>
        <w:tc>
          <w:tcPr>
            <w:tcW w:w="3685"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C4487C">
        <w:trPr>
          <w:trHeight w:val="308"/>
        </w:trPr>
        <w:tc>
          <w:tcPr>
            <w:tcW w:w="1430"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685"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C4487C">
        <w:trPr>
          <w:trHeight w:val="308"/>
        </w:trPr>
        <w:tc>
          <w:tcPr>
            <w:tcW w:w="1430"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685"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19"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C4487C">
        <w:trPr>
          <w:trHeight w:val="308"/>
        </w:trPr>
        <w:tc>
          <w:tcPr>
            <w:tcW w:w="5115" w:type="dxa"/>
            <w:gridSpan w:val="3"/>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1419"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1419"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1419"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c>
          <w:tcPr>
            <w:tcW w:w="1420"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4</w:t>
            </w:r>
          </w:p>
        </w:tc>
        <w:tc>
          <w:tcPr>
            <w:tcW w:w="1419"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5</w:t>
            </w:r>
          </w:p>
        </w:tc>
        <w:tc>
          <w:tcPr>
            <w:tcW w:w="1419"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6</w:t>
            </w:r>
          </w:p>
        </w:tc>
        <w:tc>
          <w:tcPr>
            <w:tcW w:w="1420"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7</w:t>
            </w:r>
          </w:p>
        </w:tc>
      </w:tr>
      <w:tr w:rsidR="0059743D" w:rsidTr="00C4487C">
        <w:trPr>
          <w:trHeight w:val="308"/>
        </w:trPr>
        <w:tc>
          <w:tcPr>
            <w:tcW w:w="5115" w:type="dxa"/>
            <w:gridSpan w:val="3"/>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59743D" w:rsidRDefault="0059743D">
            <w:pPr>
              <w:jc w:val="center"/>
              <w:textAlignment w:val="center"/>
              <w:rPr>
                <w:color w:val="000000"/>
                <w:sz w:val="22"/>
              </w:rPr>
            </w:pPr>
            <w:r>
              <w:rPr>
                <w:color w:val="000000"/>
                <w:sz w:val="22"/>
              </w:rPr>
              <w:t>合计</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Pr="00BB7447" w:rsidRDefault="0059743D" w:rsidP="0084256A">
            <w:pPr>
              <w:jc w:val="right"/>
              <w:textAlignment w:val="center"/>
              <w:rPr>
                <w:b/>
                <w:color w:val="000000"/>
                <w:sz w:val="22"/>
              </w:rPr>
            </w:pPr>
            <w:r w:rsidRPr="00685D71">
              <w:rPr>
                <w:b/>
                <w:color w:val="000000"/>
                <w:sz w:val="22"/>
              </w:rPr>
              <w:t>79,837.56</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b/>
                <w:bCs/>
                <w:color w:val="000000"/>
                <w:sz w:val="22"/>
                <w:szCs w:val="22"/>
              </w:rPr>
            </w:pPr>
            <w:r w:rsidRPr="0059743D">
              <w:rPr>
                <w:b/>
                <w:bCs/>
                <w:color w:val="000000"/>
                <w:sz w:val="22"/>
                <w:szCs w:val="22"/>
              </w:rPr>
              <w:t>52,866.05</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b/>
                <w:bCs/>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b/>
                <w:bCs/>
                <w:color w:val="000000"/>
                <w:sz w:val="22"/>
                <w:szCs w:val="22"/>
              </w:rPr>
            </w:pPr>
            <w:r w:rsidRPr="0059743D">
              <w:rPr>
                <w:b/>
                <w:bCs/>
                <w:color w:val="000000"/>
                <w:sz w:val="22"/>
                <w:szCs w:val="22"/>
              </w:rPr>
              <w:t>23,949.93</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b/>
                <w:bCs/>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b/>
                <w:bCs/>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b/>
                <w:bCs/>
                <w:color w:val="000000"/>
                <w:sz w:val="22"/>
                <w:szCs w:val="22"/>
              </w:rPr>
            </w:pPr>
            <w:r w:rsidRPr="0059743D">
              <w:rPr>
                <w:b/>
                <w:bCs/>
                <w:color w:val="000000"/>
                <w:sz w:val="22"/>
                <w:szCs w:val="22"/>
              </w:rPr>
              <w:t>3,021.59</w:t>
            </w: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一般公共服务支出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34.50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34.50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20106</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4256A">
              <w:rPr>
                <w:color w:val="000000"/>
                <w:sz w:val="22"/>
              </w:rPr>
              <w:t>财政事务</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2.50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2.50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2010699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其他财政事务支出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2.50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2.50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20114</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4256A">
              <w:rPr>
                <w:color w:val="000000"/>
                <w:sz w:val="22"/>
              </w:rPr>
              <w:t>知识产权事务</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2011499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其他知识产权事务支出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20123</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4256A">
              <w:rPr>
                <w:color w:val="000000"/>
                <w:sz w:val="22"/>
              </w:rPr>
              <w:t>民族事务</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22.00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22.00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2012304</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民族工作专项</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22.00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22.00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205</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教育支出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sidRPr="0059743D">
              <w:rPr>
                <w:color w:val="000000"/>
                <w:sz w:val="22"/>
                <w:szCs w:val="22"/>
              </w:rPr>
              <w:t>78,705.77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51,734.26</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23,949.93</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3,021.59</w:t>
            </w: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20502</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ind w:firstLineChars="100" w:firstLine="220"/>
              <w:textAlignment w:val="center"/>
              <w:rPr>
                <w:color w:val="000000"/>
                <w:sz w:val="22"/>
              </w:rPr>
            </w:pPr>
            <w:r w:rsidRPr="0084256A">
              <w:rPr>
                <w:color w:val="000000"/>
                <w:sz w:val="22"/>
              </w:rPr>
              <w:t>普通教育</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sidRPr="0059743D">
              <w:rPr>
                <w:color w:val="000000"/>
                <w:sz w:val="22"/>
                <w:szCs w:val="22"/>
              </w:rPr>
              <w:t>78,705.77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51,734.26</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23,949.93</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3,021.59</w:t>
            </w: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2050205</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高等教育</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sidRPr="0059743D">
              <w:rPr>
                <w:color w:val="000000"/>
                <w:sz w:val="22"/>
                <w:szCs w:val="22"/>
              </w:rPr>
              <w:t>78,705.77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51,734.26</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23,949.93</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3,021.59</w:t>
            </w: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科学技术支出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350.00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350.00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20602</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ind w:firstLineChars="100" w:firstLine="220"/>
              <w:textAlignment w:val="center"/>
              <w:rPr>
                <w:color w:val="000000"/>
                <w:sz w:val="22"/>
              </w:rPr>
            </w:pPr>
            <w:r w:rsidRPr="0084256A">
              <w:rPr>
                <w:color w:val="000000"/>
                <w:sz w:val="22"/>
              </w:rPr>
              <w:t>基础研究</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2060203</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自然科学基金</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20605</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4256A">
              <w:rPr>
                <w:color w:val="000000"/>
                <w:sz w:val="22"/>
              </w:rPr>
              <w:t>科技条件与服务</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2060599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其他科技条件与服务支出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20606</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4256A">
              <w:rPr>
                <w:color w:val="000000"/>
                <w:sz w:val="22"/>
              </w:rPr>
              <w:t>社会科学</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144.00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144.00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2060603</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社科基金支出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67.00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67.00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2060699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其他社会科学支出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77.00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77.00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20607</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ind w:firstLineChars="100" w:firstLine="220"/>
              <w:textAlignment w:val="center"/>
              <w:rPr>
                <w:color w:val="000000"/>
                <w:sz w:val="22"/>
              </w:rPr>
            </w:pPr>
            <w:r w:rsidRPr="0084256A">
              <w:rPr>
                <w:color w:val="000000"/>
                <w:sz w:val="22"/>
              </w:rPr>
              <w:t>科学技术普及</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26.00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26.00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36B1C">
              <w:rPr>
                <w:color w:val="000000"/>
                <w:sz w:val="22"/>
              </w:rPr>
              <w:t>2060702</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36B1C">
              <w:rPr>
                <w:rFonts w:hint="eastAsia"/>
                <w:color w:val="000000"/>
                <w:sz w:val="22"/>
              </w:rPr>
              <w:t>科普活动</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36B1C">
              <w:rPr>
                <w:color w:val="000000"/>
                <w:sz w:val="22"/>
              </w:rPr>
              <w:t>2060704</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36B1C">
              <w:rPr>
                <w:rFonts w:hint="eastAsia"/>
                <w:color w:val="000000"/>
                <w:sz w:val="22"/>
              </w:rPr>
              <w:t>学术交流活动</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2060799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其他科学技术普及支出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6.00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6.00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auto"/>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20699</w:t>
            </w:r>
          </w:p>
        </w:tc>
        <w:tc>
          <w:tcPr>
            <w:tcW w:w="3685" w:type="dxa"/>
            <w:gridSpan w:val="2"/>
            <w:tcBorders>
              <w:top w:val="nil"/>
              <w:left w:val="nil"/>
              <w:bottom w:val="single" w:sz="4" w:space="0" w:color="auto"/>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4256A">
              <w:rPr>
                <w:color w:val="000000"/>
                <w:sz w:val="22"/>
              </w:rPr>
              <w:t>其他科学技术支出</w:t>
            </w:r>
          </w:p>
        </w:tc>
        <w:tc>
          <w:tcPr>
            <w:tcW w:w="1419" w:type="dxa"/>
            <w:gridSpan w:val="2"/>
            <w:tcBorders>
              <w:top w:val="nil"/>
              <w:left w:val="nil"/>
              <w:bottom w:val="single" w:sz="4" w:space="0" w:color="auto"/>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35.00</w:t>
            </w:r>
          </w:p>
        </w:tc>
        <w:tc>
          <w:tcPr>
            <w:tcW w:w="1419" w:type="dxa"/>
            <w:gridSpan w:val="2"/>
            <w:tcBorders>
              <w:top w:val="nil"/>
              <w:left w:val="nil"/>
              <w:bottom w:val="single" w:sz="4" w:space="0" w:color="auto"/>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35.00</w:t>
            </w:r>
          </w:p>
        </w:tc>
        <w:tc>
          <w:tcPr>
            <w:tcW w:w="1419" w:type="dxa"/>
            <w:gridSpan w:val="2"/>
            <w:tcBorders>
              <w:top w:val="nil"/>
              <w:left w:val="nil"/>
              <w:bottom w:val="single" w:sz="4" w:space="0" w:color="auto"/>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auto"/>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auto"/>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auto"/>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auto"/>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p>
        </w:tc>
      </w:tr>
      <w:tr w:rsidR="00C4487C" w:rsidTr="00C4487C">
        <w:trPr>
          <w:trHeight w:val="308"/>
        </w:trPr>
        <w:tc>
          <w:tcPr>
            <w:tcW w:w="1430" w:type="dxa"/>
            <w:tcBorders>
              <w:top w:val="single" w:sz="4" w:space="0" w:color="auto"/>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36B1C">
              <w:rPr>
                <w:color w:val="000000"/>
                <w:sz w:val="22"/>
              </w:rPr>
              <w:lastRenderedPageBreak/>
              <w:t>2069901</w:t>
            </w:r>
          </w:p>
        </w:tc>
        <w:tc>
          <w:tcPr>
            <w:tcW w:w="3685" w:type="dxa"/>
            <w:gridSpan w:val="2"/>
            <w:tcBorders>
              <w:top w:val="single" w:sz="4" w:space="0" w:color="auto"/>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36B1C">
              <w:rPr>
                <w:rFonts w:hint="eastAsia"/>
                <w:color w:val="000000"/>
                <w:sz w:val="22"/>
              </w:rPr>
              <w:t>科技奖励</w:t>
            </w:r>
          </w:p>
        </w:tc>
        <w:tc>
          <w:tcPr>
            <w:tcW w:w="1419" w:type="dxa"/>
            <w:gridSpan w:val="2"/>
            <w:tcBorders>
              <w:top w:val="single" w:sz="4" w:space="0" w:color="auto"/>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r w:rsidRPr="00836B1C">
              <w:rPr>
                <w:color w:val="000000"/>
                <w:sz w:val="22"/>
              </w:rPr>
              <w:t>25.00</w:t>
            </w:r>
          </w:p>
        </w:tc>
        <w:tc>
          <w:tcPr>
            <w:tcW w:w="1419" w:type="dxa"/>
            <w:gridSpan w:val="2"/>
            <w:tcBorders>
              <w:top w:val="single" w:sz="4" w:space="0" w:color="auto"/>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25.00</w:t>
            </w:r>
          </w:p>
        </w:tc>
        <w:tc>
          <w:tcPr>
            <w:tcW w:w="1419" w:type="dxa"/>
            <w:gridSpan w:val="2"/>
            <w:tcBorders>
              <w:top w:val="single" w:sz="4" w:space="0" w:color="auto"/>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single" w:sz="4" w:space="0" w:color="auto"/>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single" w:sz="4" w:space="0" w:color="auto"/>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single" w:sz="4" w:space="0" w:color="auto"/>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single" w:sz="4" w:space="0" w:color="auto"/>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36B1C">
              <w:rPr>
                <w:color w:val="000000"/>
                <w:sz w:val="22"/>
              </w:rPr>
              <w:t>206990</w:t>
            </w:r>
            <w:r>
              <w:rPr>
                <w:rFonts w:hint="eastAsia"/>
                <w:color w:val="000000"/>
                <w:sz w:val="22"/>
              </w:rPr>
              <w:t>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36B1C">
              <w:rPr>
                <w:rFonts w:hint="eastAsia"/>
                <w:color w:val="000000"/>
                <w:sz w:val="22"/>
              </w:rPr>
              <w:t>其他科学技术支出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jc w:val="right"/>
              <w:textAlignment w:val="center"/>
              <w:rPr>
                <w:color w:val="000000"/>
                <w:sz w:val="22"/>
              </w:rPr>
            </w:pPr>
            <w:r w:rsidRPr="00836B1C">
              <w:rPr>
                <w:color w:val="000000"/>
                <w:sz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207</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文化旅游体育与传媒支出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20701</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ind w:firstLineChars="100" w:firstLine="220"/>
              <w:textAlignment w:val="center"/>
              <w:rPr>
                <w:color w:val="000000"/>
                <w:sz w:val="22"/>
              </w:rPr>
            </w:pPr>
            <w:r w:rsidRPr="0084256A">
              <w:rPr>
                <w:color w:val="000000"/>
                <w:sz w:val="22"/>
              </w:rPr>
              <w:t>文化和旅游</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2070111</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4256A">
              <w:rPr>
                <w:color w:val="000000"/>
                <w:sz w:val="22"/>
              </w:rPr>
              <w:t>文化创作与保护</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45.00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Pr>
                <w:rFonts w:hint="eastAsia"/>
                <w:color w:val="000000"/>
                <w:sz w:val="22"/>
              </w:rPr>
              <w:t>20799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100" w:firstLine="220"/>
              <w:textAlignment w:val="center"/>
              <w:rPr>
                <w:color w:val="000000"/>
                <w:sz w:val="22"/>
              </w:rPr>
            </w:pPr>
            <w:r w:rsidRPr="00836B1C">
              <w:rPr>
                <w:rFonts w:hint="eastAsia"/>
                <w:color w:val="000000"/>
                <w:sz w:val="22"/>
              </w:rPr>
              <w:t>其他文化旅游体育与传媒支出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Pr>
                <w:rFonts w:hint="eastAsia"/>
                <w:color w:val="000000"/>
                <w:sz w:val="22"/>
              </w:rPr>
              <w:t>2079999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36B1C">
            <w:pPr>
              <w:ind w:firstLineChars="200" w:firstLine="440"/>
              <w:textAlignment w:val="center"/>
              <w:rPr>
                <w:color w:val="000000"/>
                <w:sz w:val="22"/>
              </w:rPr>
            </w:pPr>
            <w:r w:rsidRPr="00836B1C">
              <w:rPr>
                <w:rFonts w:hint="eastAsia"/>
                <w:color w:val="000000"/>
                <w:sz w:val="22"/>
              </w:rPr>
              <w:t>其他文化旅游体育与传媒支出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5.00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208</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社会保障和就业支出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15.22</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15.22</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20807</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ind w:firstLineChars="100" w:firstLine="220"/>
              <w:textAlignment w:val="center"/>
              <w:rPr>
                <w:color w:val="000000"/>
                <w:sz w:val="22"/>
              </w:rPr>
            </w:pPr>
            <w:r w:rsidRPr="0084256A">
              <w:rPr>
                <w:color w:val="000000"/>
                <w:sz w:val="22"/>
              </w:rPr>
              <w:t>就业补助</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15.22</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15.22</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2080799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A31581">
            <w:pPr>
              <w:ind w:firstLineChars="200" w:firstLine="440"/>
              <w:textAlignment w:val="center"/>
              <w:rPr>
                <w:color w:val="000000"/>
                <w:sz w:val="22"/>
              </w:rPr>
            </w:pPr>
            <w:r w:rsidRPr="0084256A">
              <w:rPr>
                <w:color w:val="000000"/>
                <w:sz w:val="22"/>
              </w:rPr>
              <w:t>其他就业补助支出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15.22</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15.22</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210</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卫生健康支出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372.07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372.07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Pr="0084256A" w:rsidRDefault="0059743D" w:rsidP="0084256A">
            <w:pPr>
              <w:textAlignment w:val="center"/>
              <w:rPr>
                <w:color w:val="000000"/>
                <w:sz w:val="22"/>
              </w:rPr>
            </w:pPr>
            <w:r w:rsidRPr="0084256A">
              <w:rPr>
                <w:color w:val="000000"/>
                <w:sz w:val="22"/>
              </w:rPr>
              <w:t>21004</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Pr="0084256A" w:rsidRDefault="0059743D" w:rsidP="0084256A">
            <w:pPr>
              <w:ind w:firstLineChars="100" w:firstLine="220"/>
              <w:textAlignment w:val="center"/>
              <w:rPr>
                <w:color w:val="000000"/>
                <w:sz w:val="22"/>
              </w:rPr>
            </w:pPr>
            <w:r w:rsidRPr="0084256A">
              <w:rPr>
                <w:color w:val="000000"/>
                <w:sz w:val="22"/>
              </w:rPr>
              <w:t>公共卫生</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372.07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372.07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2100499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Default="0059743D" w:rsidP="00A31581">
            <w:pPr>
              <w:ind w:firstLineChars="200" w:firstLine="440"/>
              <w:rPr>
                <w:color w:val="000000"/>
                <w:sz w:val="22"/>
                <w:szCs w:val="22"/>
              </w:rPr>
            </w:pPr>
            <w:r>
              <w:rPr>
                <w:rFonts w:hint="eastAsia"/>
                <w:color w:val="000000"/>
                <w:sz w:val="22"/>
                <w:szCs w:val="22"/>
              </w:rPr>
              <w:t>其他公共卫生支出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372.07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372.07</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211</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节能环保支出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21103</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Default="0059743D" w:rsidP="00A31581">
            <w:pPr>
              <w:ind w:firstLineChars="100" w:firstLine="220"/>
              <w:rPr>
                <w:color w:val="000000"/>
                <w:sz w:val="22"/>
                <w:szCs w:val="22"/>
              </w:rPr>
            </w:pPr>
            <w:r>
              <w:rPr>
                <w:rFonts w:hint="eastAsia"/>
                <w:color w:val="000000"/>
                <w:sz w:val="22"/>
                <w:szCs w:val="22"/>
              </w:rPr>
              <w:t>污染防治</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2110399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Default="0059743D" w:rsidP="00A31581">
            <w:pPr>
              <w:ind w:firstLineChars="200" w:firstLine="440"/>
              <w:rPr>
                <w:color w:val="000000"/>
                <w:sz w:val="22"/>
                <w:szCs w:val="22"/>
              </w:rPr>
            </w:pPr>
            <w:r>
              <w:rPr>
                <w:rFonts w:hint="eastAsia"/>
                <w:color w:val="000000"/>
                <w:sz w:val="22"/>
                <w:szCs w:val="22"/>
              </w:rPr>
              <w:t>其他污染防治支出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300.00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21104</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Default="0059743D" w:rsidP="00A31581">
            <w:pPr>
              <w:ind w:firstLineChars="100" w:firstLine="220"/>
              <w:rPr>
                <w:color w:val="000000"/>
                <w:sz w:val="22"/>
                <w:szCs w:val="22"/>
              </w:rPr>
            </w:pPr>
            <w:r>
              <w:rPr>
                <w:rFonts w:hint="eastAsia"/>
                <w:color w:val="000000"/>
                <w:sz w:val="22"/>
                <w:szCs w:val="22"/>
              </w:rPr>
              <w:t>自然生态保护</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59743D"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59743D" w:rsidRDefault="0059743D">
            <w:pPr>
              <w:rPr>
                <w:color w:val="000000"/>
                <w:sz w:val="22"/>
                <w:szCs w:val="22"/>
              </w:rPr>
            </w:pPr>
            <w:r>
              <w:rPr>
                <w:rFonts w:hint="eastAsia"/>
                <w:color w:val="000000"/>
                <w:sz w:val="22"/>
                <w:szCs w:val="22"/>
              </w:rPr>
              <w:t>2110499</w:t>
            </w:r>
          </w:p>
        </w:tc>
        <w:tc>
          <w:tcPr>
            <w:tcW w:w="3685" w:type="dxa"/>
            <w:gridSpan w:val="2"/>
            <w:tcBorders>
              <w:top w:val="nil"/>
              <w:left w:val="nil"/>
              <w:bottom w:val="single" w:sz="4" w:space="0" w:color="000000"/>
              <w:right w:val="single" w:sz="4" w:space="0" w:color="000000"/>
              <w:tl2br w:val="nil"/>
              <w:tr2bl w:val="nil"/>
            </w:tcBorders>
            <w:noWrap/>
            <w:vAlign w:val="center"/>
          </w:tcPr>
          <w:p w:rsidR="0059743D" w:rsidRDefault="0059743D" w:rsidP="00A31581">
            <w:pPr>
              <w:ind w:firstLineChars="200" w:firstLine="440"/>
              <w:rPr>
                <w:color w:val="000000"/>
                <w:sz w:val="22"/>
                <w:szCs w:val="22"/>
              </w:rPr>
            </w:pPr>
            <w:r>
              <w:rPr>
                <w:rFonts w:hint="eastAsia"/>
                <w:color w:val="000000"/>
                <w:sz w:val="22"/>
                <w:szCs w:val="22"/>
              </w:rPr>
              <w:t>其他自然生态保护支出</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r>
              <w:rPr>
                <w:rFonts w:hint="eastAsia"/>
                <w:color w:val="000000"/>
                <w:sz w:val="22"/>
                <w:szCs w:val="22"/>
              </w:rPr>
              <w:t>10.00</w:t>
            </w: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19"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c>
          <w:tcPr>
            <w:tcW w:w="1420" w:type="dxa"/>
            <w:gridSpan w:val="2"/>
            <w:tcBorders>
              <w:top w:val="nil"/>
              <w:left w:val="nil"/>
              <w:bottom w:val="single" w:sz="4" w:space="0" w:color="000000"/>
              <w:right w:val="single" w:sz="4" w:space="0" w:color="000000"/>
              <w:tl2br w:val="nil"/>
              <w:tr2bl w:val="nil"/>
            </w:tcBorders>
            <w:noWrap/>
            <w:vAlign w:val="center"/>
          </w:tcPr>
          <w:p w:rsidR="0059743D" w:rsidRDefault="0059743D">
            <w:pPr>
              <w:jc w:val="right"/>
              <w:rPr>
                <w:color w:val="000000"/>
                <w:sz w:val="22"/>
                <w:szCs w:val="22"/>
              </w:rPr>
            </w:pPr>
          </w:p>
        </w:tc>
      </w:tr>
      <w:tr w:rsidR="00836B1C" w:rsidTr="00C4487C">
        <w:trPr>
          <w:gridAfter w:val="1"/>
          <w:wAfter w:w="552" w:type="dxa"/>
          <w:trHeight w:val="308"/>
        </w:trPr>
        <w:tc>
          <w:tcPr>
            <w:tcW w:w="14498" w:type="dxa"/>
            <w:gridSpan w:val="16"/>
            <w:tcBorders>
              <w:top w:val="nil"/>
              <w:left w:val="nil"/>
              <w:bottom w:val="nil"/>
              <w:right w:val="nil"/>
              <w:tl2br w:val="nil"/>
              <w:tr2bl w:val="nil"/>
            </w:tcBorders>
            <w:noWrap/>
            <w:vAlign w:val="center"/>
          </w:tcPr>
          <w:p w:rsidR="00836B1C" w:rsidRDefault="00A31581">
            <w:pPr>
              <w:textAlignment w:val="center"/>
              <w:rPr>
                <w:color w:val="000000"/>
                <w:sz w:val="22"/>
              </w:rPr>
            </w:pPr>
            <w:r>
              <w:rPr>
                <w:color w:val="000000"/>
                <w:sz w:val="22"/>
              </w:rPr>
              <w:t>注：本表反映部门本年度取得的各项收入情况。</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22" w:type="dxa"/>
        <w:tblInd w:w="96" w:type="dxa"/>
        <w:tblLayout w:type="fixed"/>
        <w:tblLook w:val="04A0" w:firstRow="1" w:lastRow="0" w:firstColumn="1" w:lastColumn="0" w:noHBand="0" w:noVBand="1"/>
      </w:tblPr>
      <w:tblGrid>
        <w:gridCol w:w="1430"/>
        <w:gridCol w:w="183"/>
        <w:gridCol w:w="236"/>
        <w:gridCol w:w="236"/>
        <w:gridCol w:w="3030"/>
        <w:gridCol w:w="1567"/>
        <w:gridCol w:w="475"/>
        <w:gridCol w:w="1233"/>
        <w:gridCol w:w="584"/>
        <w:gridCol w:w="1124"/>
        <w:gridCol w:w="413"/>
        <w:gridCol w:w="1295"/>
        <w:gridCol w:w="242"/>
        <w:gridCol w:w="1298"/>
        <w:gridCol w:w="168"/>
        <w:gridCol w:w="1708"/>
      </w:tblGrid>
      <w:tr w:rsidR="00B87C8A">
        <w:trPr>
          <w:trHeight w:val="384"/>
        </w:trPr>
        <w:tc>
          <w:tcPr>
            <w:tcW w:w="15222" w:type="dxa"/>
            <w:gridSpan w:val="16"/>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三、支出决算表</w:t>
            </w:r>
          </w:p>
        </w:tc>
      </w:tr>
      <w:tr w:rsidR="00B87C8A" w:rsidTr="00C4487C">
        <w:trPr>
          <w:trHeight w:val="264"/>
        </w:trPr>
        <w:tc>
          <w:tcPr>
            <w:tcW w:w="1613"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03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042"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17"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9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6" w:type="dxa"/>
            <w:gridSpan w:val="2"/>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公开03表</w:t>
            </w:r>
          </w:p>
        </w:tc>
      </w:tr>
      <w:tr w:rsidR="00B87C8A" w:rsidTr="00C4487C">
        <w:trPr>
          <w:trHeight w:val="264"/>
        </w:trPr>
        <w:tc>
          <w:tcPr>
            <w:tcW w:w="1613" w:type="dxa"/>
            <w:gridSpan w:val="2"/>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部门：吉首大学</w:t>
            </w: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03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042"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17"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9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6" w:type="dxa"/>
            <w:gridSpan w:val="2"/>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rsidTr="00C4487C">
        <w:trPr>
          <w:trHeight w:val="308"/>
        </w:trPr>
        <w:tc>
          <w:tcPr>
            <w:tcW w:w="5115" w:type="dxa"/>
            <w:gridSpan w:val="5"/>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1567"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本年支出合计</w:t>
            </w:r>
          </w:p>
        </w:tc>
        <w:tc>
          <w:tcPr>
            <w:tcW w:w="1708"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基本支出</w:t>
            </w:r>
          </w:p>
        </w:tc>
        <w:tc>
          <w:tcPr>
            <w:tcW w:w="1708"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项目支出</w:t>
            </w:r>
          </w:p>
        </w:tc>
        <w:tc>
          <w:tcPr>
            <w:tcW w:w="1708"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上缴上级支出</w:t>
            </w:r>
          </w:p>
        </w:tc>
        <w:tc>
          <w:tcPr>
            <w:tcW w:w="1708" w:type="dxa"/>
            <w:gridSpan w:val="3"/>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经营支出</w:t>
            </w:r>
          </w:p>
        </w:tc>
        <w:tc>
          <w:tcPr>
            <w:tcW w:w="1708"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对附属单位补助支出</w:t>
            </w:r>
          </w:p>
        </w:tc>
      </w:tr>
      <w:tr w:rsidR="00B87C8A" w:rsidTr="00C4487C">
        <w:trPr>
          <w:trHeight w:val="308"/>
        </w:trPr>
        <w:tc>
          <w:tcPr>
            <w:tcW w:w="2085" w:type="dxa"/>
            <w:gridSpan w:val="4"/>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功能分类科目编码</w:t>
            </w:r>
          </w:p>
        </w:tc>
        <w:tc>
          <w:tcPr>
            <w:tcW w:w="303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科目名称</w:t>
            </w:r>
          </w:p>
        </w:tc>
        <w:tc>
          <w:tcPr>
            <w:tcW w:w="156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3"/>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C4487C">
        <w:trPr>
          <w:trHeight w:val="308"/>
        </w:trPr>
        <w:tc>
          <w:tcPr>
            <w:tcW w:w="2085" w:type="dxa"/>
            <w:gridSpan w:val="4"/>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03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6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3"/>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C4487C">
        <w:trPr>
          <w:trHeight w:val="312"/>
        </w:trPr>
        <w:tc>
          <w:tcPr>
            <w:tcW w:w="2085" w:type="dxa"/>
            <w:gridSpan w:val="4"/>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03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6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gridSpan w:val="3"/>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C4487C">
        <w:trPr>
          <w:trHeight w:val="308"/>
        </w:trPr>
        <w:tc>
          <w:tcPr>
            <w:tcW w:w="5115" w:type="dxa"/>
            <w:gridSpan w:val="5"/>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156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1708"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1708"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c>
          <w:tcPr>
            <w:tcW w:w="1708"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4</w:t>
            </w:r>
          </w:p>
        </w:tc>
        <w:tc>
          <w:tcPr>
            <w:tcW w:w="1708"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5</w:t>
            </w:r>
          </w:p>
        </w:tc>
        <w:tc>
          <w:tcPr>
            <w:tcW w:w="17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6</w:t>
            </w:r>
          </w:p>
        </w:tc>
      </w:tr>
      <w:tr w:rsidR="00143480" w:rsidTr="00C4487C">
        <w:trPr>
          <w:trHeight w:val="308"/>
        </w:trPr>
        <w:tc>
          <w:tcPr>
            <w:tcW w:w="5115" w:type="dxa"/>
            <w:gridSpan w:val="5"/>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合计</w:t>
            </w:r>
          </w:p>
        </w:tc>
        <w:tc>
          <w:tcPr>
            <w:tcW w:w="1567" w:type="dxa"/>
            <w:tcBorders>
              <w:top w:val="nil"/>
              <w:left w:val="nil"/>
              <w:bottom w:val="single" w:sz="4" w:space="0" w:color="000000"/>
              <w:right w:val="single" w:sz="4" w:space="0" w:color="000000"/>
              <w:tl2br w:val="nil"/>
              <w:tr2bl w:val="nil"/>
            </w:tcBorders>
            <w:noWrap/>
            <w:vAlign w:val="center"/>
          </w:tcPr>
          <w:p w:rsidR="00143480" w:rsidRPr="00143480" w:rsidRDefault="0059743D" w:rsidP="00143480">
            <w:pPr>
              <w:jc w:val="right"/>
              <w:textAlignment w:val="center"/>
              <w:rPr>
                <w:b/>
                <w:color w:val="000000"/>
                <w:sz w:val="22"/>
              </w:rPr>
            </w:pPr>
            <w:r w:rsidRPr="0059743D">
              <w:rPr>
                <w:b/>
                <w:color w:val="000000"/>
                <w:sz w:val="22"/>
              </w:rPr>
              <w:t>73,313.18</w:t>
            </w:r>
          </w:p>
        </w:tc>
        <w:tc>
          <w:tcPr>
            <w:tcW w:w="1708" w:type="dxa"/>
            <w:gridSpan w:val="2"/>
            <w:tcBorders>
              <w:top w:val="nil"/>
              <w:left w:val="nil"/>
              <w:bottom w:val="single" w:sz="4" w:space="0" w:color="000000"/>
              <w:right w:val="single" w:sz="4" w:space="0" w:color="000000"/>
              <w:tl2br w:val="nil"/>
              <w:tr2bl w:val="nil"/>
            </w:tcBorders>
            <w:noWrap/>
            <w:vAlign w:val="center"/>
          </w:tcPr>
          <w:p w:rsidR="00143480" w:rsidRPr="00143480" w:rsidRDefault="00C4487C" w:rsidP="00143480">
            <w:pPr>
              <w:jc w:val="right"/>
              <w:textAlignment w:val="center"/>
              <w:rPr>
                <w:b/>
                <w:color w:val="000000"/>
                <w:sz w:val="22"/>
              </w:rPr>
            </w:pPr>
            <w:r w:rsidRPr="00C4487C">
              <w:rPr>
                <w:b/>
                <w:color w:val="000000"/>
                <w:sz w:val="22"/>
              </w:rPr>
              <w:t>41,900.29</w:t>
            </w:r>
          </w:p>
        </w:tc>
        <w:tc>
          <w:tcPr>
            <w:tcW w:w="1708" w:type="dxa"/>
            <w:gridSpan w:val="2"/>
            <w:tcBorders>
              <w:top w:val="nil"/>
              <w:left w:val="nil"/>
              <w:bottom w:val="single" w:sz="4" w:space="0" w:color="000000"/>
              <w:right w:val="single" w:sz="4" w:space="0" w:color="000000"/>
              <w:tl2br w:val="nil"/>
              <w:tr2bl w:val="nil"/>
            </w:tcBorders>
            <w:noWrap/>
            <w:vAlign w:val="center"/>
          </w:tcPr>
          <w:p w:rsidR="00143480" w:rsidRPr="00143480" w:rsidRDefault="00C4487C" w:rsidP="00143480">
            <w:pPr>
              <w:jc w:val="right"/>
              <w:textAlignment w:val="center"/>
              <w:rPr>
                <w:b/>
                <w:color w:val="000000"/>
                <w:sz w:val="22"/>
              </w:rPr>
            </w:pPr>
            <w:r w:rsidRPr="00C4487C">
              <w:rPr>
                <w:b/>
                <w:color w:val="000000"/>
                <w:sz w:val="22"/>
              </w:rPr>
              <w:t>31,412.89</w:t>
            </w:r>
          </w:p>
        </w:tc>
        <w:tc>
          <w:tcPr>
            <w:tcW w:w="1708" w:type="dxa"/>
            <w:gridSpan w:val="2"/>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一般公共服务支出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32.62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32.62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20106</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财政事务</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0.12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0.12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2010699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其他财政事务支出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0.12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0.12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20114</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知识产权事务</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10.50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10.50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2011405</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知识产权战略和规划</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2011499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其他知识产权事务支出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0.50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0.50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20123</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民族事务</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22.00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22.00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2012304</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民族工作专项</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22.00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22.00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205</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教育支出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72,434.85</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41,900.29</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30,534.57</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20502</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普通教育</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72,434.85</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41,900.29</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30,534.57</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2050205</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高等教育</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72,434.85</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41,900.29</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30,534.57</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科学技术支出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398.20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398.20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20602</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基础研究</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2060203</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自然科学基金</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20605</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科技条件与服务</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2060599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其他科技条件与服务支出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20606</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社会科学</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192.20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192.20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2060603</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社科基金支出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115.20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115.20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2060699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其他社会科学支出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77.00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77.00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20607</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科学技术普及</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26.00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26.00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2060702</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科普活动</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auto"/>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2060704</w:t>
            </w:r>
          </w:p>
        </w:tc>
        <w:tc>
          <w:tcPr>
            <w:tcW w:w="3685" w:type="dxa"/>
            <w:gridSpan w:val="4"/>
            <w:tcBorders>
              <w:top w:val="nil"/>
              <w:left w:val="nil"/>
              <w:bottom w:val="single" w:sz="4" w:space="0" w:color="auto"/>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学术交流活动</w:t>
            </w:r>
          </w:p>
        </w:tc>
        <w:tc>
          <w:tcPr>
            <w:tcW w:w="1567" w:type="dxa"/>
            <w:tcBorders>
              <w:top w:val="nil"/>
              <w:left w:val="nil"/>
              <w:bottom w:val="single" w:sz="4" w:space="0" w:color="auto"/>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auto"/>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single" w:sz="4" w:space="0" w:color="auto"/>
              <w:left w:val="single" w:sz="4" w:space="0" w:color="000000"/>
              <w:bottom w:val="single" w:sz="4" w:space="0" w:color="auto"/>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2060799</w:t>
            </w:r>
          </w:p>
        </w:tc>
        <w:tc>
          <w:tcPr>
            <w:tcW w:w="3685" w:type="dxa"/>
            <w:gridSpan w:val="4"/>
            <w:tcBorders>
              <w:top w:val="single" w:sz="4" w:space="0" w:color="auto"/>
              <w:left w:val="nil"/>
              <w:bottom w:val="single" w:sz="4" w:space="0" w:color="auto"/>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其他科学技术普及支出</w:t>
            </w:r>
          </w:p>
        </w:tc>
        <w:tc>
          <w:tcPr>
            <w:tcW w:w="1567" w:type="dxa"/>
            <w:tcBorders>
              <w:top w:val="single" w:sz="4" w:space="0" w:color="auto"/>
              <w:left w:val="nil"/>
              <w:bottom w:val="single" w:sz="4" w:space="0" w:color="auto"/>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6.00</w:t>
            </w:r>
          </w:p>
        </w:tc>
        <w:tc>
          <w:tcPr>
            <w:tcW w:w="1708" w:type="dxa"/>
            <w:gridSpan w:val="2"/>
            <w:tcBorders>
              <w:top w:val="single" w:sz="4" w:space="0" w:color="auto"/>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single" w:sz="4" w:space="0" w:color="auto"/>
              <w:left w:val="nil"/>
              <w:bottom w:val="single" w:sz="4" w:space="0" w:color="auto"/>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6.00</w:t>
            </w:r>
          </w:p>
        </w:tc>
        <w:tc>
          <w:tcPr>
            <w:tcW w:w="1708" w:type="dxa"/>
            <w:gridSpan w:val="2"/>
            <w:tcBorders>
              <w:top w:val="single" w:sz="4" w:space="0" w:color="auto"/>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single" w:sz="4" w:space="0" w:color="auto"/>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single" w:sz="4" w:space="0" w:color="auto"/>
              <w:left w:val="nil"/>
              <w:bottom w:val="single" w:sz="4" w:space="0" w:color="auto"/>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single" w:sz="4" w:space="0" w:color="auto"/>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lastRenderedPageBreak/>
              <w:t>20699</w:t>
            </w:r>
          </w:p>
        </w:tc>
        <w:tc>
          <w:tcPr>
            <w:tcW w:w="3685" w:type="dxa"/>
            <w:gridSpan w:val="4"/>
            <w:tcBorders>
              <w:top w:val="single" w:sz="4" w:space="0" w:color="auto"/>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其他科学技术支出</w:t>
            </w:r>
          </w:p>
        </w:tc>
        <w:tc>
          <w:tcPr>
            <w:tcW w:w="1567" w:type="dxa"/>
            <w:tcBorders>
              <w:top w:val="single" w:sz="4" w:space="0" w:color="auto"/>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35.00</w:t>
            </w:r>
          </w:p>
        </w:tc>
        <w:tc>
          <w:tcPr>
            <w:tcW w:w="1708" w:type="dxa"/>
            <w:gridSpan w:val="2"/>
            <w:tcBorders>
              <w:top w:val="single" w:sz="4" w:space="0" w:color="auto"/>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single" w:sz="4" w:space="0" w:color="auto"/>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35.00</w:t>
            </w:r>
          </w:p>
        </w:tc>
        <w:tc>
          <w:tcPr>
            <w:tcW w:w="1708" w:type="dxa"/>
            <w:gridSpan w:val="2"/>
            <w:tcBorders>
              <w:top w:val="single" w:sz="4" w:space="0" w:color="auto"/>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single" w:sz="4" w:space="0" w:color="auto"/>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single" w:sz="4" w:space="0" w:color="auto"/>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2069901</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科技奖励</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25.00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2069999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其他科学技术支出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207</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文化旅游体育与传媒支出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50.00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50.00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20701</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文化和旅游</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2070111</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文化创作与保护</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45.00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20799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其他文化旅游体育与传媒支出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2079999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其他文化旅游体育与传媒支出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5.00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208</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社会保障和就业支出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15.22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15.22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20807</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就业补助</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15.22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15.22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2080799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其他就业补助支出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15.22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15.22</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210</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卫生健康支出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372.28</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372.28</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21004</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公共卫生</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372.28</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372.28</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2100499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其他公共卫生支出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372.28</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372.28</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211</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节能环保支出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21104</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100" w:firstLine="220"/>
              <w:rPr>
                <w:color w:val="000000"/>
                <w:sz w:val="22"/>
                <w:szCs w:val="22"/>
              </w:rPr>
            </w:pPr>
            <w:r>
              <w:rPr>
                <w:rFonts w:hint="eastAsia"/>
                <w:color w:val="000000"/>
                <w:sz w:val="22"/>
                <w:szCs w:val="22"/>
              </w:rPr>
              <w:t>自然生态保护</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C4487C" w:rsidTr="00C4487C">
        <w:trPr>
          <w:trHeight w:val="308"/>
        </w:trPr>
        <w:tc>
          <w:tcPr>
            <w:tcW w:w="1430" w:type="dxa"/>
            <w:tcBorders>
              <w:top w:val="nil"/>
              <w:left w:val="single" w:sz="4" w:space="0" w:color="000000"/>
              <w:bottom w:val="single" w:sz="4" w:space="0" w:color="000000"/>
              <w:right w:val="single" w:sz="4" w:space="0" w:color="000000"/>
              <w:tl2br w:val="nil"/>
              <w:tr2bl w:val="nil"/>
            </w:tcBorders>
            <w:noWrap/>
            <w:vAlign w:val="center"/>
          </w:tcPr>
          <w:p w:rsidR="00C4487C" w:rsidRDefault="00C4487C">
            <w:pPr>
              <w:rPr>
                <w:color w:val="000000"/>
                <w:sz w:val="22"/>
                <w:szCs w:val="22"/>
              </w:rPr>
            </w:pPr>
            <w:r>
              <w:rPr>
                <w:rFonts w:hint="eastAsia"/>
                <w:color w:val="000000"/>
                <w:sz w:val="22"/>
                <w:szCs w:val="22"/>
              </w:rPr>
              <w:t>2110499</w:t>
            </w:r>
          </w:p>
        </w:tc>
        <w:tc>
          <w:tcPr>
            <w:tcW w:w="3685" w:type="dxa"/>
            <w:gridSpan w:val="4"/>
            <w:tcBorders>
              <w:top w:val="nil"/>
              <w:left w:val="nil"/>
              <w:bottom w:val="single" w:sz="4" w:space="0" w:color="000000"/>
              <w:right w:val="single" w:sz="4" w:space="0" w:color="000000"/>
              <w:tl2br w:val="nil"/>
              <w:tr2bl w:val="nil"/>
            </w:tcBorders>
            <w:noWrap/>
            <w:vAlign w:val="center"/>
          </w:tcPr>
          <w:p w:rsidR="00C4487C" w:rsidRDefault="00C4487C" w:rsidP="00C4487C">
            <w:pPr>
              <w:ind w:firstLineChars="200" w:firstLine="440"/>
              <w:rPr>
                <w:color w:val="000000"/>
                <w:sz w:val="22"/>
                <w:szCs w:val="22"/>
              </w:rPr>
            </w:pPr>
            <w:r>
              <w:rPr>
                <w:rFonts w:hint="eastAsia"/>
                <w:color w:val="000000"/>
                <w:sz w:val="22"/>
                <w:szCs w:val="22"/>
              </w:rPr>
              <w:t>其他自然生态保护支出</w:t>
            </w:r>
          </w:p>
        </w:tc>
        <w:tc>
          <w:tcPr>
            <w:tcW w:w="1567" w:type="dxa"/>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Default="00C4487C">
            <w:pPr>
              <w:jc w:val="right"/>
              <w:rPr>
                <w:color w:val="000000"/>
                <w:sz w:val="22"/>
                <w:szCs w:val="22"/>
              </w:rPr>
            </w:pPr>
            <w:r>
              <w:rPr>
                <w:rFonts w:hint="eastAsia"/>
                <w:color w:val="000000"/>
                <w:sz w:val="22"/>
                <w:szCs w:val="22"/>
              </w:rPr>
              <w:t>10.00</w:t>
            </w:r>
          </w:p>
        </w:tc>
        <w:tc>
          <w:tcPr>
            <w:tcW w:w="1708" w:type="dxa"/>
            <w:gridSpan w:val="2"/>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gridSpan w:val="3"/>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c>
          <w:tcPr>
            <w:tcW w:w="1708" w:type="dxa"/>
            <w:tcBorders>
              <w:top w:val="nil"/>
              <w:left w:val="nil"/>
              <w:bottom w:val="single" w:sz="4" w:space="0" w:color="000000"/>
              <w:right w:val="single" w:sz="4" w:space="0" w:color="000000"/>
              <w:tl2br w:val="nil"/>
              <w:tr2bl w:val="nil"/>
            </w:tcBorders>
            <w:noWrap/>
            <w:vAlign w:val="center"/>
          </w:tcPr>
          <w:p w:rsidR="00C4487C" w:rsidRPr="00BB7447" w:rsidRDefault="00C4487C" w:rsidP="00143480">
            <w:pPr>
              <w:jc w:val="right"/>
              <w:textAlignment w:val="center"/>
              <w:rPr>
                <w:color w:val="000000"/>
                <w:sz w:val="22"/>
              </w:rPr>
            </w:pPr>
          </w:p>
        </w:tc>
      </w:tr>
      <w:tr w:rsidR="00B87C8A">
        <w:trPr>
          <w:trHeight w:val="308"/>
        </w:trPr>
        <w:tc>
          <w:tcPr>
            <w:tcW w:w="15222" w:type="dxa"/>
            <w:gridSpan w:val="16"/>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注：本表反映部门本年度各项支出情况。</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82" w:type="dxa"/>
        <w:tblInd w:w="96" w:type="dxa"/>
        <w:tblLayout w:type="fixed"/>
        <w:tblLook w:val="04A0" w:firstRow="1" w:lastRow="0" w:firstColumn="1" w:lastColumn="0" w:noHBand="0" w:noVBand="1"/>
      </w:tblPr>
      <w:tblGrid>
        <w:gridCol w:w="3102"/>
        <w:gridCol w:w="800"/>
        <w:gridCol w:w="1360"/>
        <w:gridCol w:w="3420"/>
        <w:gridCol w:w="800"/>
        <w:gridCol w:w="1320"/>
        <w:gridCol w:w="1420"/>
        <w:gridCol w:w="1541"/>
        <w:gridCol w:w="1519"/>
      </w:tblGrid>
      <w:tr w:rsidR="00B87C8A">
        <w:trPr>
          <w:trHeight w:val="384"/>
        </w:trPr>
        <w:tc>
          <w:tcPr>
            <w:tcW w:w="15282" w:type="dxa"/>
            <w:gridSpan w:val="9"/>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四、财政拨款收入支出决算总表</w:t>
            </w:r>
          </w:p>
        </w:tc>
      </w:tr>
      <w:tr w:rsidR="00B87C8A">
        <w:trPr>
          <w:trHeight w:val="264"/>
        </w:trPr>
        <w:tc>
          <w:tcPr>
            <w:tcW w:w="310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6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41"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19"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公开04表</w:t>
            </w:r>
          </w:p>
        </w:tc>
      </w:tr>
      <w:tr w:rsidR="00B87C8A">
        <w:trPr>
          <w:trHeight w:val="264"/>
        </w:trPr>
        <w:tc>
          <w:tcPr>
            <w:tcW w:w="3102" w:type="dxa"/>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部门：吉首大学</w:t>
            </w: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6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41"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19"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trPr>
          <w:trHeight w:val="308"/>
        </w:trPr>
        <w:tc>
          <w:tcPr>
            <w:tcW w:w="5262"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收     入</w:t>
            </w:r>
          </w:p>
        </w:tc>
        <w:tc>
          <w:tcPr>
            <w:tcW w:w="10020"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支     出</w:t>
            </w:r>
          </w:p>
        </w:tc>
      </w:tr>
      <w:tr w:rsidR="00B87C8A">
        <w:trPr>
          <w:trHeight w:val="293"/>
        </w:trPr>
        <w:tc>
          <w:tcPr>
            <w:tcW w:w="3102"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8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行次</w:t>
            </w:r>
          </w:p>
        </w:tc>
        <w:tc>
          <w:tcPr>
            <w:tcW w:w="136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金额</w:t>
            </w:r>
          </w:p>
        </w:tc>
        <w:tc>
          <w:tcPr>
            <w:tcW w:w="34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8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行次</w:t>
            </w:r>
          </w:p>
        </w:tc>
        <w:tc>
          <w:tcPr>
            <w:tcW w:w="13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合计</w:t>
            </w:r>
          </w:p>
        </w:tc>
        <w:tc>
          <w:tcPr>
            <w:tcW w:w="14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一般公共预算财政拨款</w:t>
            </w:r>
          </w:p>
        </w:tc>
        <w:tc>
          <w:tcPr>
            <w:tcW w:w="1541"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政府性基金预算财政拨款</w:t>
            </w:r>
          </w:p>
        </w:tc>
        <w:tc>
          <w:tcPr>
            <w:tcW w:w="1519"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国有资本经营预算财政拨款</w:t>
            </w:r>
          </w:p>
        </w:tc>
      </w:tr>
      <w:tr w:rsidR="00B87C8A">
        <w:trPr>
          <w:trHeight w:val="615"/>
        </w:trPr>
        <w:tc>
          <w:tcPr>
            <w:tcW w:w="3102"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8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4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8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41"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19"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1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c>
          <w:tcPr>
            <w:tcW w:w="1541"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4</w:t>
            </w:r>
          </w:p>
        </w:tc>
        <w:tc>
          <w:tcPr>
            <w:tcW w:w="1519"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5</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一、一般公共预算财政拨款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C4487C" w:rsidP="00143480">
            <w:pPr>
              <w:jc w:val="right"/>
              <w:textAlignment w:val="center"/>
              <w:rPr>
                <w:color w:val="000000"/>
                <w:sz w:val="22"/>
              </w:rPr>
            </w:pPr>
            <w:r w:rsidRPr="00C4487C">
              <w:rPr>
                <w:color w:val="000000"/>
                <w:sz w:val="22"/>
              </w:rPr>
              <w:t>52,866.05</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一、一般公共服务支出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C4487C" w:rsidP="00143480">
            <w:pPr>
              <w:jc w:val="right"/>
              <w:textAlignment w:val="center"/>
              <w:rPr>
                <w:color w:val="000000"/>
                <w:sz w:val="22"/>
              </w:rPr>
            </w:pPr>
            <w:r w:rsidRPr="00C4487C">
              <w:rPr>
                <w:color w:val="000000"/>
                <w:sz w:val="22"/>
              </w:rPr>
              <w:t>32.62</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23193E" w:rsidP="00143480">
            <w:pPr>
              <w:jc w:val="right"/>
              <w:textAlignment w:val="center"/>
              <w:rPr>
                <w:color w:val="000000"/>
                <w:sz w:val="22"/>
              </w:rPr>
            </w:pPr>
            <w:r w:rsidRPr="0023193E">
              <w:rPr>
                <w:color w:val="000000"/>
                <w:sz w:val="22"/>
              </w:rPr>
              <w:t>32.62</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二、政府性基金预算财政拨款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二、外交支出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三、国有资本经营财政拨款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三、国防支出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35</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四、公共安全支出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36</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Pr="00143480" w:rsidRDefault="0023193E" w:rsidP="00143480">
            <w:pPr>
              <w:textAlignment w:val="center"/>
              <w:rPr>
                <w:color w:val="000000"/>
                <w:sz w:val="22"/>
              </w:rPr>
            </w:pPr>
            <w:r w:rsidRPr="00143480">
              <w:rPr>
                <w:color w:val="000000"/>
                <w:sz w:val="22"/>
              </w:rPr>
              <w:t>五、教育支出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37</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50,165.80</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50,165.80</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Pr="00143480" w:rsidRDefault="0023193E" w:rsidP="00143480">
            <w:pPr>
              <w:textAlignment w:val="center"/>
              <w:rPr>
                <w:color w:val="000000"/>
                <w:sz w:val="22"/>
              </w:rPr>
            </w:pPr>
            <w:r w:rsidRPr="00143480">
              <w:rPr>
                <w:color w:val="000000"/>
                <w:sz w:val="22"/>
              </w:rPr>
              <w:t>六、科学技术支出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38</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398.20</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398.20</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Pr="00143480" w:rsidRDefault="0023193E" w:rsidP="00143480">
            <w:pPr>
              <w:textAlignment w:val="center"/>
              <w:rPr>
                <w:color w:val="000000"/>
                <w:sz w:val="22"/>
              </w:rPr>
            </w:pPr>
            <w:r w:rsidRPr="00143480">
              <w:rPr>
                <w:color w:val="000000"/>
                <w:sz w:val="22"/>
              </w:rPr>
              <w:t>七、文化旅游体育与传媒支出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39</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50.00</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50.00</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Pr="00143480" w:rsidRDefault="0023193E" w:rsidP="00143480">
            <w:pPr>
              <w:textAlignment w:val="center"/>
              <w:rPr>
                <w:color w:val="000000"/>
                <w:sz w:val="22"/>
              </w:rPr>
            </w:pPr>
            <w:r w:rsidRPr="00143480">
              <w:rPr>
                <w:color w:val="000000"/>
                <w:sz w:val="22"/>
              </w:rPr>
              <w:t>八、社会保障和就业支出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40</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Pr="00143480" w:rsidRDefault="0023193E" w:rsidP="00143480">
            <w:pPr>
              <w:textAlignment w:val="center"/>
              <w:rPr>
                <w:color w:val="000000"/>
                <w:sz w:val="22"/>
              </w:rPr>
            </w:pPr>
            <w:r w:rsidRPr="00143480">
              <w:rPr>
                <w:color w:val="000000"/>
                <w:sz w:val="22"/>
              </w:rPr>
              <w:t>九、卫生健康支出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41</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10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Pr="00143480" w:rsidRDefault="0023193E" w:rsidP="00143480">
            <w:pPr>
              <w:textAlignment w:val="center"/>
              <w:rPr>
                <w:color w:val="000000"/>
                <w:sz w:val="22"/>
              </w:rPr>
            </w:pPr>
            <w:r w:rsidRPr="00143480">
              <w:rPr>
                <w:color w:val="000000"/>
                <w:sz w:val="22"/>
              </w:rPr>
              <w:t>十、节能环保支出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42</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十一、城乡社区支出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十二、农林水支出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十三、交通运输支出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45</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十四、资源勘探工业信息等支出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46</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十五、商业服务业等支出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47</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十六、金融支出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48</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十七、援助其他地区支出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49</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十八、自然资源海洋气象等支出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50</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十九、住房保障支出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51</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二十、粮油物资储备支出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52</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二十一、国有资本经营预算支出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二十二、灾害防治及应急管理支出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二十三、其他支出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55</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rPr>
                <w:b/>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二十四、债务还本支出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56</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rsidTr="00BB7447">
        <w:trPr>
          <w:trHeight w:val="308"/>
        </w:trPr>
        <w:tc>
          <w:tcPr>
            <w:tcW w:w="3102" w:type="dxa"/>
            <w:tcBorders>
              <w:top w:val="nil"/>
              <w:left w:val="single" w:sz="4" w:space="0" w:color="000000"/>
              <w:bottom w:val="single" w:sz="4" w:space="0" w:color="auto"/>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auto"/>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25</w:t>
            </w:r>
          </w:p>
        </w:tc>
        <w:tc>
          <w:tcPr>
            <w:tcW w:w="1360" w:type="dxa"/>
            <w:tcBorders>
              <w:top w:val="nil"/>
              <w:left w:val="nil"/>
              <w:bottom w:val="single" w:sz="4" w:space="0" w:color="auto"/>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auto"/>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二十五、债务付息支出</w:t>
            </w:r>
          </w:p>
        </w:tc>
        <w:tc>
          <w:tcPr>
            <w:tcW w:w="800" w:type="dxa"/>
            <w:tcBorders>
              <w:top w:val="nil"/>
              <w:left w:val="nil"/>
              <w:bottom w:val="single" w:sz="4" w:space="0" w:color="auto"/>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57</w:t>
            </w:r>
          </w:p>
        </w:tc>
        <w:tc>
          <w:tcPr>
            <w:tcW w:w="1320"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rsidTr="00BB7447">
        <w:trPr>
          <w:trHeight w:val="308"/>
        </w:trPr>
        <w:tc>
          <w:tcPr>
            <w:tcW w:w="3102" w:type="dxa"/>
            <w:tcBorders>
              <w:top w:val="single" w:sz="4" w:space="0" w:color="auto"/>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26</w:t>
            </w:r>
          </w:p>
        </w:tc>
        <w:tc>
          <w:tcPr>
            <w:tcW w:w="1360" w:type="dxa"/>
            <w:tcBorders>
              <w:top w:val="single" w:sz="4" w:space="0" w:color="auto"/>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二十六、抗</w:t>
            </w:r>
            <w:proofErr w:type="gramStart"/>
            <w:r w:rsidRPr="00143480">
              <w:rPr>
                <w:color w:val="000000"/>
                <w:sz w:val="22"/>
              </w:rPr>
              <w:t>疫</w:t>
            </w:r>
            <w:proofErr w:type="gramEnd"/>
            <w:r w:rsidRPr="00143480">
              <w:rPr>
                <w:color w:val="000000"/>
                <w:sz w:val="22"/>
              </w:rPr>
              <w:t>特别国债安排的支出</w:t>
            </w:r>
          </w:p>
        </w:tc>
        <w:tc>
          <w:tcPr>
            <w:tcW w:w="800"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58</w:t>
            </w:r>
          </w:p>
        </w:tc>
        <w:tc>
          <w:tcPr>
            <w:tcW w:w="1320"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b/>
                <w:color w:val="000000"/>
                <w:sz w:val="22"/>
              </w:rPr>
            </w:pPr>
            <w:r>
              <w:rPr>
                <w:b/>
                <w:color w:val="000000"/>
                <w:sz w:val="22"/>
              </w:rPr>
              <w:t>本年收入合计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27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szCs w:val="22"/>
              </w:rPr>
            </w:pPr>
            <w:r>
              <w:rPr>
                <w:rFonts w:hint="eastAsia"/>
                <w:color w:val="000000"/>
                <w:sz w:val="22"/>
                <w:szCs w:val="22"/>
              </w:rPr>
              <w:t>52,866.05</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b/>
                <w:color w:val="000000"/>
                <w:sz w:val="22"/>
              </w:rPr>
            </w:pPr>
            <w:r>
              <w:rPr>
                <w:b/>
                <w:color w:val="000000"/>
                <w:sz w:val="22"/>
              </w:rPr>
              <w:t>本年支出合计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59</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51,044.12</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51,044.12</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23193E">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23193E" w:rsidRDefault="0023193E">
            <w:pPr>
              <w:textAlignment w:val="center"/>
              <w:rPr>
                <w:color w:val="000000"/>
                <w:sz w:val="22"/>
              </w:rPr>
            </w:pPr>
            <w:r>
              <w:rPr>
                <w:color w:val="000000"/>
                <w:sz w:val="22"/>
              </w:rPr>
              <w:t>年初财政拨款结转和结余</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28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23193E" w:rsidRDefault="0023193E">
            <w:pPr>
              <w:jc w:val="right"/>
              <w:rPr>
                <w:color w:val="000000"/>
                <w:sz w:val="22"/>
                <w:szCs w:val="22"/>
              </w:rPr>
            </w:pPr>
            <w:r>
              <w:rPr>
                <w:rFonts w:hint="eastAsia"/>
                <w:color w:val="000000"/>
                <w:sz w:val="22"/>
                <w:szCs w:val="22"/>
              </w:rPr>
              <w:t>6,643.40</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textAlignment w:val="center"/>
              <w:rPr>
                <w:color w:val="000000"/>
                <w:sz w:val="22"/>
              </w:rPr>
            </w:pPr>
            <w:r>
              <w:rPr>
                <w:color w:val="000000"/>
                <w:sz w:val="22"/>
              </w:rPr>
              <w:t>年末财政拨款结转和结余</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23193E" w:rsidRDefault="0023193E">
            <w:pPr>
              <w:jc w:val="center"/>
              <w:textAlignment w:val="center"/>
              <w:rPr>
                <w:color w:val="000000"/>
                <w:sz w:val="22"/>
              </w:rPr>
            </w:pPr>
            <w:r>
              <w:rPr>
                <w:color w:val="000000"/>
                <w:sz w:val="22"/>
              </w:rPr>
              <w:t>60</w:t>
            </w:r>
          </w:p>
        </w:tc>
        <w:tc>
          <w:tcPr>
            <w:tcW w:w="13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8,465.32</w:t>
            </w:r>
          </w:p>
        </w:tc>
        <w:tc>
          <w:tcPr>
            <w:tcW w:w="1420"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8,465.32</w:t>
            </w:r>
          </w:p>
        </w:tc>
        <w:tc>
          <w:tcPr>
            <w:tcW w:w="1541"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23193E" w:rsidRPr="00143480" w:rsidRDefault="0023193E" w:rsidP="00143480">
            <w:pPr>
              <w:jc w:val="right"/>
              <w:textAlignment w:val="center"/>
              <w:rPr>
                <w:color w:val="000000"/>
                <w:sz w:val="22"/>
              </w:rPr>
            </w:pPr>
          </w:p>
        </w:tc>
      </w:tr>
      <w:tr w:rsidR="00C4487C">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C4487C" w:rsidRDefault="00C4487C">
            <w:pPr>
              <w:textAlignment w:val="center"/>
              <w:rPr>
                <w:color w:val="000000"/>
                <w:sz w:val="22"/>
              </w:rPr>
            </w:pPr>
            <w:r>
              <w:rPr>
                <w:color w:val="000000"/>
                <w:sz w:val="22"/>
              </w:rPr>
              <w:t xml:space="preserve">  一般公共预算财政拨款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C4487C" w:rsidRDefault="00C4487C">
            <w:pPr>
              <w:jc w:val="center"/>
              <w:textAlignment w:val="center"/>
              <w:rPr>
                <w:color w:val="000000"/>
                <w:sz w:val="22"/>
              </w:rPr>
            </w:pPr>
            <w:r>
              <w:rPr>
                <w:color w:val="000000"/>
                <w:sz w:val="22"/>
              </w:rPr>
              <w:t>29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C4487C" w:rsidRDefault="00C4487C">
            <w:pPr>
              <w:jc w:val="right"/>
              <w:rPr>
                <w:color w:val="000000"/>
                <w:sz w:val="22"/>
                <w:szCs w:val="22"/>
              </w:rPr>
            </w:pPr>
            <w:r>
              <w:rPr>
                <w:rFonts w:hint="eastAsia"/>
                <w:color w:val="000000"/>
                <w:sz w:val="22"/>
                <w:szCs w:val="22"/>
              </w:rPr>
              <w:t>6,643.40</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C4487C" w:rsidRDefault="00C4487C">
            <w:pPr>
              <w:rPr>
                <w:color w:val="000000"/>
                <w:sz w:val="20"/>
                <w:szCs w:val="20"/>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C4487C" w:rsidRDefault="00C4487C">
            <w:pPr>
              <w:jc w:val="center"/>
              <w:textAlignment w:val="center"/>
              <w:rPr>
                <w:color w:val="000000"/>
                <w:sz w:val="22"/>
              </w:rPr>
            </w:pPr>
            <w:r>
              <w:rPr>
                <w:color w:val="000000"/>
                <w:sz w:val="22"/>
              </w:rPr>
              <w:t>61</w:t>
            </w:r>
          </w:p>
        </w:tc>
        <w:tc>
          <w:tcPr>
            <w:tcW w:w="1320" w:type="dxa"/>
            <w:tcBorders>
              <w:top w:val="nil"/>
              <w:left w:val="nil"/>
              <w:bottom w:val="single" w:sz="4" w:space="0" w:color="000000"/>
              <w:right w:val="single" w:sz="4" w:space="0" w:color="000000"/>
              <w:tl2br w:val="nil"/>
              <w:tr2bl w:val="nil"/>
            </w:tcBorders>
            <w:noWrap/>
            <w:vAlign w:val="center"/>
          </w:tcPr>
          <w:p w:rsidR="00C4487C" w:rsidRPr="00143480" w:rsidRDefault="00C4487C" w:rsidP="00143480">
            <w:pPr>
              <w:jc w:val="right"/>
              <w:textAlignment w:val="center"/>
              <w:rPr>
                <w:color w:val="000000"/>
                <w:sz w:val="22"/>
              </w:rPr>
            </w:pPr>
            <w:r w:rsidRPr="00143480">
              <w:rPr>
                <w:color w:val="000000"/>
                <w:sz w:val="22"/>
              </w:rPr>
              <w:t xml:space="preserve">　</w:t>
            </w:r>
          </w:p>
        </w:tc>
        <w:tc>
          <w:tcPr>
            <w:tcW w:w="1420" w:type="dxa"/>
            <w:tcBorders>
              <w:top w:val="nil"/>
              <w:left w:val="nil"/>
              <w:bottom w:val="single" w:sz="4" w:space="0" w:color="000000"/>
              <w:right w:val="single" w:sz="4" w:space="0" w:color="000000"/>
              <w:tl2br w:val="nil"/>
              <w:tr2bl w:val="nil"/>
            </w:tcBorders>
            <w:noWrap/>
            <w:vAlign w:val="center"/>
          </w:tcPr>
          <w:p w:rsidR="00C4487C" w:rsidRPr="00143480" w:rsidRDefault="00C4487C" w:rsidP="00143480">
            <w:pPr>
              <w:jc w:val="right"/>
              <w:textAlignment w:val="center"/>
              <w:rPr>
                <w:color w:val="000000"/>
                <w:sz w:val="22"/>
              </w:rPr>
            </w:pPr>
            <w:r w:rsidRPr="00143480">
              <w:rPr>
                <w:color w:val="000000"/>
                <w:sz w:val="22"/>
              </w:rPr>
              <w:t xml:space="preserve">　</w:t>
            </w:r>
          </w:p>
        </w:tc>
        <w:tc>
          <w:tcPr>
            <w:tcW w:w="1541" w:type="dxa"/>
            <w:tcBorders>
              <w:top w:val="nil"/>
              <w:left w:val="nil"/>
              <w:bottom w:val="single" w:sz="4" w:space="0" w:color="000000"/>
              <w:right w:val="single" w:sz="4" w:space="0" w:color="000000"/>
              <w:tl2br w:val="nil"/>
              <w:tr2bl w:val="nil"/>
            </w:tcBorders>
            <w:noWrap/>
            <w:vAlign w:val="center"/>
          </w:tcPr>
          <w:p w:rsidR="00C4487C" w:rsidRPr="00143480" w:rsidRDefault="00C4487C" w:rsidP="00143480">
            <w:pPr>
              <w:jc w:val="right"/>
              <w:textAlignment w:val="center"/>
              <w:rPr>
                <w:color w:val="000000"/>
                <w:sz w:val="22"/>
              </w:rPr>
            </w:pPr>
            <w:r w:rsidRPr="00143480">
              <w:rPr>
                <w:color w:val="000000"/>
                <w:sz w:val="22"/>
              </w:rPr>
              <w:t xml:space="preserve">　</w:t>
            </w:r>
          </w:p>
        </w:tc>
        <w:tc>
          <w:tcPr>
            <w:tcW w:w="1519" w:type="dxa"/>
            <w:tcBorders>
              <w:top w:val="nil"/>
              <w:left w:val="nil"/>
              <w:bottom w:val="single" w:sz="4" w:space="0" w:color="000000"/>
              <w:right w:val="single" w:sz="4" w:space="0" w:color="000000"/>
              <w:tl2br w:val="nil"/>
              <w:tr2bl w:val="nil"/>
            </w:tcBorders>
            <w:noWrap/>
            <w:vAlign w:val="center"/>
          </w:tcPr>
          <w:p w:rsidR="00C4487C" w:rsidRPr="00143480" w:rsidRDefault="00C4487C" w:rsidP="00143480">
            <w:pPr>
              <w:jc w:val="right"/>
              <w:textAlignment w:val="center"/>
              <w:rPr>
                <w:color w:val="000000"/>
                <w:sz w:val="22"/>
              </w:rPr>
            </w:pPr>
            <w:r w:rsidRPr="00143480">
              <w:rPr>
                <w:color w:val="000000"/>
                <w:sz w:val="22"/>
              </w:rPr>
              <w:t xml:space="preserve">　</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 xml:space="preserve">  政府性基金预算财政拨款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0"/>
                <w:szCs w:val="20"/>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62</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 xml:space="preserve">  国有资本经营预算财政拨款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b/>
                <w:color w:val="000000"/>
                <w:sz w:val="22"/>
              </w:rPr>
            </w:pPr>
            <w:r>
              <w:rPr>
                <w:b/>
                <w:color w:val="000000"/>
                <w:sz w:val="22"/>
              </w:rPr>
              <w:t>总计</w:t>
            </w:r>
          </w:p>
        </w:tc>
        <w:tc>
          <w:tcPr>
            <w:tcW w:w="800" w:type="dxa"/>
            <w:tcBorders>
              <w:top w:val="nil"/>
              <w:left w:val="nil"/>
              <w:bottom w:val="single" w:sz="8"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C4487C" w:rsidP="00143480">
            <w:pPr>
              <w:jc w:val="right"/>
              <w:textAlignment w:val="center"/>
              <w:rPr>
                <w:color w:val="000000"/>
                <w:sz w:val="22"/>
              </w:rPr>
            </w:pPr>
            <w:r w:rsidRPr="00C4487C">
              <w:rPr>
                <w:color w:val="000000"/>
                <w:sz w:val="22"/>
              </w:rPr>
              <w:t>59,509.44</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b/>
                <w:color w:val="000000"/>
                <w:sz w:val="22"/>
              </w:rPr>
            </w:pPr>
            <w:r>
              <w:rPr>
                <w:b/>
                <w:color w:val="000000"/>
                <w:sz w:val="22"/>
              </w:rPr>
              <w:t>总计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23193E" w:rsidP="00143480">
            <w:pPr>
              <w:jc w:val="right"/>
              <w:textAlignment w:val="center"/>
              <w:rPr>
                <w:color w:val="000000"/>
                <w:sz w:val="22"/>
              </w:rPr>
            </w:pPr>
            <w:r w:rsidRPr="0023193E">
              <w:rPr>
                <w:color w:val="000000"/>
                <w:sz w:val="22"/>
              </w:rPr>
              <w:t>59,509.44</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23193E" w:rsidP="00143480">
            <w:pPr>
              <w:jc w:val="right"/>
              <w:textAlignment w:val="center"/>
              <w:rPr>
                <w:color w:val="000000"/>
                <w:sz w:val="22"/>
              </w:rPr>
            </w:pPr>
            <w:r w:rsidRPr="0023193E">
              <w:rPr>
                <w:color w:val="000000"/>
                <w:sz w:val="22"/>
              </w:rPr>
              <w:t>59,509.44</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B87C8A">
        <w:trPr>
          <w:trHeight w:val="308"/>
        </w:trPr>
        <w:tc>
          <w:tcPr>
            <w:tcW w:w="15282" w:type="dxa"/>
            <w:gridSpan w:val="9"/>
            <w:vMerge w:val="restart"/>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注：本表反映部门本年度一般公共预算财政拨款、政府性基金预算财政拨款和国有资本经营预算财政拨款的总收支和年末结转结余情况。</w:t>
            </w:r>
          </w:p>
        </w:tc>
      </w:tr>
      <w:tr w:rsidR="00B87C8A">
        <w:trPr>
          <w:trHeight w:val="353"/>
        </w:trPr>
        <w:tc>
          <w:tcPr>
            <w:tcW w:w="15282" w:type="dxa"/>
            <w:gridSpan w:val="9"/>
            <w:vMerge/>
            <w:tcBorders>
              <w:top w:val="nil"/>
              <w:left w:val="nil"/>
              <w:bottom w:val="nil"/>
              <w:right w:val="nil"/>
              <w:tl2br w:val="nil"/>
              <w:tr2bl w:val="nil"/>
            </w:tcBorders>
            <w:noWrap/>
            <w:vAlign w:val="center"/>
          </w:tcPr>
          <w:p w:rsidR="00B87C8A" w:rsidRDefault="00B87C8A">
            <w:pPr>
              <w:rPr>
                <w:color w:val="000000"/>
                <w:sz w:val="22"/>
              </w:rPr>
            </w:pP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82" w:type="dxa"/>
        <w:tblInd w:w="96" w:type="dxa"/>
        <w:tblLayout w:type="fixed"/>
        <w:tblLook w:val="04A0" w:firstRow="1" w:lastRow="0" w:firstColumn="1" w:lastColumn="0" w:noHBand="0" w:noVBand="1"/>
      </w:tblPr>
      <w:tblGrid>
        <w:gridCol w:w="1614"/>
        <w:gridCol w:w="236"/>
        <w:gridCol w:w="723"/>
        <w:gridCol w:w="4196"/>
        <w:gridCol w:w="2538"/>
        <w:gridCol w:w="299"/>
        <w:gridCol w:w="2159"/>
        <w:gridCol w:w="679"/>
        <w:gridCol w:w="2838"/>
      </w:tblGrid>
      <w:tr w:rsidR="00B87C8A">
        <w:trPr>
          <w:trHeight w:val="384"/>
        </w:trPr>
        <w:tc>
          <w:tcPr>
            <w:tcW w:w="15282" w:type="dxa"/>
            <w:gridSpan w:val="9"/>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五、一般公共预算财政拨款支出决算表</w:t>
            </w:r>
          </w:p>
        </w:tc>
      </w:tr>
      <w:tr w:rsidR="00B87C8A" w:rsidTr="00143480">
        <w:trPr>
          <w:trHeight w:val="264"/>
        </w:trPr>
        <w:tc>
          <w:tcPr>
            <w:tcW w:w="161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72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419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53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458"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517" w:type="dxa"/>
            <w:gridSpan w:val="2"/>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公开05表</w:t>
            </w:r>
          </w:p>
        </w:tc>
      </w:tr>
      <w:tr w:rsidR="00B87C8A" w:rsidTr="00143480">
        <w:trPr>
          <w:trHeight w:val="264"/>
        </w:trPr>
        <w:tc>
          <w:tcPr>
            <w:tcW w:w="1614" w:type="dxa"/>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部门：吉首大学</w:t>
            </w: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72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419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53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458"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517" w:type="dxa"/>
            <w:gridSpan w:val="2"/>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rsidTr="00143480">
        <w:trPr>
          <w:trHeight w:val="308"/>
        </w:trPr>
        <w:tc>
          <w:tcPr>
            <w:tcW w:w="6769"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8513" w:type="dxa"/>
            <w:gridSpan w:val="5"/>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本年支出</w:t>
            </w:r>
          </w:p>
        </w:tc>
      </w:tr>
      <w:tr w:rsidR="00B87C8A" w:rsidTr="00017946">
        <w:trPr>
          <w:trHeight w:val="308"/>
        </w:trPr>
        <w:tc>
          <w:tcPr>
            <w:tcW w:w="2573"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功能分类科目编码</w:t>
            </w:r>
          </w:p>
        </w:tc>
        <w:tc>
          <w:tcPr>
            <w:tcW w:w="419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科目名称</w:t>
            </w:r>
          </w:p>
        </w:tc>
        <w:tc>
          <w:tcPr>
            <w:tcW w:w="2837"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小计</w:t>
            </w:r>
          </w:p>
        </w:tc>
        <w:tc>
          <w:tcPr>
            <w:tcW w:w="2838"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基本支出</w:t>
            </w:r>
          </w:p>
        </w:tc>
        <w:tc>
          <w:tcPr>
            <w:tcW w:w="283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项目支出</w:t>
            </w:r>
          </w:p>
        </w:tc>
      </w:tr>
      <w:tr w:rsidR="00B87C8A" w:rsidTr="00017946">
        <w:trPr>
          <w:trHeight w:val="285"/>
        </w:trPr>
        <w:tc>
          <w:tcPr>
            <w:tcW w:w="2573"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41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837"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838"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83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017946">
        <w:trPr>
          <w:trHeight w:val="615"/>
        </w:trPr>
        <w:tc>
          <w:tcPr>
            <w:tcW w:w="2573"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41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837"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838"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83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017946">
        <w:trPr>
          <w:trHeight w:val="308"/>
        </w:trPr>
        <w:tc>
          <w:tcPr>
            <w:tcW w:w="6769"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2837"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2838"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283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r>
      <w:tr w:rsidR="00483D14" w:rsidTr="00017946">
        <w:trPr>
          <w:trHeight w:val="308"/>
        </w:trPr>
        <w:tc>
          <w:tcPr>
            <w:tcW w:w="6769"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483D14" w:rsidRDefault="00483D14">
            <w:pPr>
              <w:jc w:val="center"/>
              <w:textAlignment w:val="center"/>
              <w:rPr>
                <w:color w:val="000000"/>
                <w:sz w:val="22"/>
              </w:rPr>
            </w:pPr>
            <w:r>
              <w:rPr>
                <w:color w:val="000000"/>
                <w:sz w:val="22"/>
              </w:rPr>
              <w:t>合计</w:t>
            </w:r>
          </w:p>
        </w:tc>
        <w:tc>
          <w:tcPr>
            <w:tcW w:w="2837" w:type="dxa"/>
            <w:gridSpan w:val="2"/>
            <w:tcBorders>
              <w:top w:val="nil"/>
              <w:left w:val="nil"/>
              <w:bottom w:val="single" w:sz="4" w:space="0" w:color="000000"/>
              <w:right w:val="single" w:sz="4" w:space="0" w:color="000000"/>
              <w:tl2br w:val="nil"/>
              <w:tr2bl w:val="nil"/>
            </w:tcBorders>
            <w:noWrap/>
            <w:vAlign w:val="center"/>
          </w:tcPr>
          <w:p w:rsidR="00483D14" w:rsidRPr="00483D14" w:rsidRDefault="0023193E" w:rsidP="00483D14">
            <w:pPr>
              <w:jc w:val="right"/>
              <w:textAlignment w:val="center"/>
              <w:rPr>
                <w:b/>
                <w:color w:val="000000"/>
                <w:sz w:val="22"/>
              </w:rPr>
            </w:pPr>
            <w:r w:rsidRPr="0023193E">
              <w:rPr>
                <w:b/>
                <w:color w:val="000000"/>
                <w:sz w:val="22"/>
              </w:rPr>
              <w:t>51,044.12</w:t>
            </w:r>
          </w:p>
        </w:tc>
        <w:tc>
          <w:tcPr>
            <w:tcW w:w="2838" w:type="dxa"/>
            <w:gridSpan w:val="2"/>
            <w:tcBorders>
              <w:top w:val="nil"/>
              <w:left w:val="nil"/>
              <w:bottom w:val="single" w:sz="4" w:space="0" w:color="000000"/>
              <w:right w:val="single" w:sz="4" w:space="0" w:color="000000"/>
              <w:tl2br w:val="nil"/>
              <w:tr2bl w:val="nil"/>
            </w:tcBorders>
            <w:noWrap/>
            <w:vAlign w:val="center"/>
          </w:tcPr>
          <w:p w:rsidR="00483D14" w:rsidRDefault="0023193E">
            <w:pPr>
              <w:jc w:val="right"/>
              <w:rPr>
                <w:b/>
                <w:bCs/>
                <w:color w:val="000000"/>
                <w:sz w:val="22"/>
                <w:szCs w:val="22"/>
              </w:rPr>
            </w:pPr>
            <w:r w:rsidRPr="0023193E">
              <w:rPr>
                <w:b/>
                <w:bCs/>
                <w:color w:val="000000"/>
                <w:sz w:val="22"/>
                <w:szCs w:val="22"/>
              </w:rPr>
              <w:t>25,609.81</w:t>
            </w:r>
          </w:p>
        </w:tc>
        <w:tc>
          <w:tcPr>
            <w:tcW w:w="2838" w:type="dxa"/>
            <w:tcBorders>
              <w:top w:val="nil"/>
              <w:left w:val="nil"/>
              <w:bottom w:val="single" w:sz="4" w:space="0" w:color="000000"/>
              <w:right w:val="single" w:sz="4" w:space="0" w:color="000000"/>
              <w:tl2br w:val="nil"/>
              <w:tr2bl w:val="nil"/>
            </w:tcBorders>
            <w:noWrap/>
            <w:vAlign w:val="center"/>
          </w:tcPr>
          <w:p w:rsidR="00483D14" w:rsidRDefault="0023193E">
            <w:pPr>
              <w:jc w:val="right"/>
              <w:rPr>
                <w:b/>
                <w:bCs/>
                <w:color w:val="000000"/>
                <w:sz w:val="22"/>
                <w:szCs w:val="22"/>
              </w:rPr>
            </w:pPr>
            <w:r w:rsidRPr="0023193E">
              <w:rPr>
                <w:b/>
                <w:bCs/>
                <w:color w:val="000000"/>
                <w:sz w:val="22"/>
                <w:szCs w:val="22"/>
              </w:rPr>
              <w:t>25,434.31</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一般公共服务支出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32.62</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32.62</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20106</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财政事务</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0.12</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0.12</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2010699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其他财政事务支出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0.12</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0.12</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20114</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知识产权事务</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10.50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10.50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2011405</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知识产权战略和规划</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2011499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其他知识产权事务支出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0.50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0.50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20123</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民族事务</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22.00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22.00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2012304</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民族工作专项</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22.00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22.00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205</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教育支出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50,165.80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25,609.81</w:t>
            </w: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24,555.99</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20502</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普通教育</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50,165.80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25,609.81</w:t>
            </w: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24,555.99</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2050205</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高等教育</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50,165.80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25,609.81</w:t>
            </w: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24,555.99</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科学技术支出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398.20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398.20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20602</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基础研究</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2060203</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自然科学基金</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20605</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科技条件与服务</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2060599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其他科技条件与服务支出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20606</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社会科学</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192.20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192.20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2060603</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社科基金支出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115.20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115.20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2060699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其他社会科学支出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77.00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77.00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20607</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科学技术普及</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26.00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26.00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2060702</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科普活动</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2060704</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学术交流活动</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23193E" w:rsidTr="00017946">
        <w:trPr>
          <w:trHeight w:val="308"/>
        </w:trPr>
        <w:tc>
          <w:tcPr>
            <w:tcW w:w="2573" w:type="dxa"/>
            <w:gridSpan w:val="3"/>
            <w:tcBorders>
              <w:top w:val="nil"/>
              <w:left w:val="single" w:sz="4" w:space="0" w:color="000000"/>
              <w:bottom w:val="single" w:sz="4" w:space="0" w:color="auto"/>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2060799</w:t>
            </w:r>
          </w:p>
        </w:tc>
        <w:tc>
          <w:tcPr>
            <w:tcW w:w="4196" w:type="dxa"/>
            <w:tcBorders>
              <w:top w:val="nil"/>
              <w:left w:val="nil"/>
              <w:bottom w:val="single" w:sz="4" w:space="0" w:color="auto"/>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其他科学技术普及支出</w:t>
            </w:r>
          </w:p>
        </w:tc>
        <w:tc>
          <w:tcPr>
            <w:tcW w:w="2837" w:type="dxa"/>
            <w:gridSpan w:val="2"/>
            <w:tcBorders>
              <w:top w:val="nil"/>
              <w:left w:val="nil"/>
              <w:bottom w:val="single" w:sz="4" w:space="0" w:color="auto"/>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6.00</w:t>
            </w:r>
          </w:p>
        </w:tc>
        <w:tc>
          <w:tcPr>
            <w:tcW w:w="2838" w:type="dxa"/>
            <w:gridSpan w:val="2"/>
            <w:tcBorders>
              <w:top w:val="nil"/>
              <w:left w:val="nil"/>
              <w:bottom w:val="single" w:sz="4" w:space="0" w:color="auto"/>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auto"/>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6.00</w:t>
            </w:r>
          </w:p>
        </w:tc>
      </w:tr>
      <w:tr w:rsidR="0023193E" w:rsidTr="00017946">
        <w:trPr>
          <w:trHeight w:val="308"/>
        </w:trPr>
        <w:tc>
          <w:tcPr>
            <w:tcW w:w="2573" w:type="dxa"/>
            <w:gridSpan w:val="3"/>
            <w:tcBorders>
              <w:top w:val="single" w:sz="4" w:space="0" w:color="auto"/>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lastRenderedPageBreak/>
              <w:t>20699</w:t>
            </w:r>
          </w:p>
        </w:tc>
        <w:tc>
          <w:tcPr>
            <w:tcW w:w="4196" w:type="dxa"/>
            <w:tcBorders>
              <w:top w:val="single" w:sz="4" w:space="0" w:color="auto"/>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其他科学技术支出</w:t>
            </w:r>
          </w:p>
        </w:tc>
        <w:tc>
          <w:tcPr>
            <w:tcW w:w="2837" w:type="dxa"/>
            <w:gridSpan w:val="2"/>
            <w:tcBorders>
              <w:top w:val="single" w:sz="4" w:space="0" w:color="auto"/>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35.00</w:t>
            </w:r>
          </w:p>
        </w:tc>
        <w:tc>
          <w:tcPr>
            <w:tcW w:w="2838" w:type="dxa"/>
            <w:gridSpan w:val="2"/>
            <w:tcBorders>
              <w:top w:val="single" w:sz="4" w:space="0" w:color="auto"/>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single" w:sz="4" w:space="0" w:color="auto"/>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2069901</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科技奖励</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25.00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2069999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其他科学技术支出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207</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文化旅游体育与传媒支出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20701</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文化和旅游</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2070111</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文化创作与保护</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45.00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20799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其他文化旅游体育与传媒支出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2079999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其他文化旅游体育与传媒支出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5.00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208</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社会保障和就业支出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20807</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就业补助</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2080799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其他就业补助支出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15.22</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210</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卫生健康支出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21004</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公共卫生</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2100499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其他公共卫生支出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372.28</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211</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节能环保支出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21103</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污染防治</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2110399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其他污染防治支出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21104</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100" w:firstLine="220"/>
              <w:rPr>
                <w:color w:val="000000"/>
                <w:sz w:val="22"/>
                <w:szCs w:val="22"/>
              </w:rPr>
            </w:pPr>
            <w:r>
              <w:rPr>
                <w:rFonts w:hint="eastAsia"/>
                <w:color w:val="000000"/>
                <w:sz w:val="22"/>
                <w:szCs w:val="22"/>
              </w:rPr>
              <w:t>自然生态保护</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23193E" w:rsidTr="00017946">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23193E" w:rsidRDefault="0023193E">
            <w:pPr>
              <w:rPr>
                <w:color w:val="000000"/>
                <w:sz w:val="22"/>
                <w:szCs w:val="22"/>
              </w:rPr>
            </w:pPr>
            <w:r>
              <w:rPr>
                <w:rFonts w:hint="eastAsia"/>
                <w:color w:val="000000"/>
                <w:sz w:val="22"/>
                <w:szCs w:val="22"/>
              </w:rPr>
              <w:t>2110499</w:t>
            </w:r>
          </w:p>
        </w:tc>
        <w:tc>
          <w:tcPr>
            <w:tcW w:w="4196" w:type="dxa"/>
            <w:tcBorders>
              <w:top w:val="nil"/>
              <w:left w:val="nil"/>
              <w:bottom w:val="single" w:sz="4" w:space="0" w:color="000000"/>
              <w:right w:val="single" w:sz="4" w:space="0" w:color="000000"/>
              <w:tl2br w:val="nil"/>
              <w:tr2bl w:val="nil"/>
            </w:tcBorders>
            <w:noWrap/>
            <w:vAlign w:val="center"/>
          </w:tcPr>
          <w:p w:rsidR="0023193E" w:rsidRDefault="0023193E" w:rsidP="0023193E">
            <w:pPr>
              <w:ind w:firstLineChars="200" w:firstLine="440"/>
              <w:rPr>
                <w:color w:val="000000"/>
                <w:sz w:val="22"/>
                <w:szCs w:val="22"/>
              </w:rPr>
            </w:pPr>
            <w:r>
              <w:rPr>
                <w:rFonts w:hint="eastAsia"/>
                <w:color w:val="000000"/>
                <w:sz w:val="22"/>
                <w:szCs w:val="22"/>
              </w:rPr>
              <w:t>其他自然生态保护支出</w:t>
            </w:r>
          </w:p>
        </w:tc>
        <w:tc>
          <w:tcPr>
            <w:tcW w:w="2837"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c>
          <w:tcPr>
            <w:tcW w:w="2838" w:type="dxa"/>
            <w:gridSpan w:val="2"/>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p>
        </w:tc>
        <w:tc>
          <w:tcPr>
            <w:tcW w:w="2838" w:type="dxa"/>
            <w:tcBorders>
              <w:top w:val="nil"/>
              <w:left w:val="nil"/>
              <w:bottom w:val="single" w:sz="4" w:space="0" w:color="000000"/>
              <w:right w:val="single" w:sz="4" w:space="0" w:color="000000"/>
              <w:tl2br w:val="nil"/>
              <w:tr2bl w:val="nil"/>
            </w:tcBorders>
            <w:noWrap/>
            <w:vAlign w:val="center"/>
          </w:tcPr>
          <w:p w:rsidR="0023193E" w:rsidRDefault="0023193E">
            <w:pPr>
              <w:jc w:val="right"/>
              <w:rPr>
                <w:color w:val="000000"/>
                <w:sz w:val="22"/>
                <w:szCs w:val="22"/>
              </w:rPr>
            </w:pPr>
            <w:r>
              <w:rPr>
                <w:rFonts w:hint="eastAsia"/>
                <w:color w:val="000000"/>
                <w:sz w:val="22"/>
                <w:szCs w:val="22"/>
              </w:rPr>
              <w:t>10.00</w:t>
            </w:r>
          </w:p>
        </w:tc>
      </w:tr>
      <w:tr w:rsidR="00B87C8A">
        <w:trPr>
          <w:trHeight w:val="308"/>
        </w:trPr>
        <w:tc>
          <w:tcPr>
            <w:tcW w:w="15282" w:type="dxa"/>
            <w:gridSpan w:val="9"/>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注：本表反映部门本年度一般公共预算财政拨款支出情况。</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23320" w:type="dxa"/>
        <w:tblInd w:w="96" w:type="dxa"/>
        <w:tblLayout w:type="fixed"/>
        <w:tblLook w:val="04A0" w:firstRow="1" w:lastRow="0" w:firstColumn="1" w:lastColumn="0" w:noHBand="0" w:noVBand="1"/>
      </w:tblPr>
      <w:tblGrid>
        <w:gridCol w:w="1146"/>
        <w:gridCol w:w="58"/>
        <w:gridCol w:w="2688"/>
        <w:gridCol w:w="1224"/>
        <w:gridCol w:w="1176"/>
        <w:gridCol w:w="2328"/>
        <w:gridCol w:w="1200"/>
        <w:gridCol w:w="1272"/>
        <w:gridCol w:w="2208"/>
        <w:gridCol w:w="462"/>
        <w:gridCol w:w="1458"/>
        <w:gridCol w:w="1620"/>
        <w:gridCol w:w="1620"/>
        <w:gridCol w:w="1620"/>
        <w:gridCol w:w="1620"/>
        <w:gridCol w:w="1620"/>
      </w:tblGrid>
      <w:tr w:rsidR="00B87C8A" w:rsidTr="007A4732">
        <w:trPr>
          <w:gridAfter w:val="5"/>
          <w:wAfter w:w="8100" w:type="dxa"/>
          <w:trHeight w:val="384"/>
        </w:trPr>
        <w:tc>
          <w:tcPr>
            <w:tcW w:w="15220" w:type="dxa"/>
            <w:gridSpan w:val="11"/>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六、一般公共预算财政拨款基本支出决算</w:t>
            </w:r>
            <w:r w:rsidR="00603AFA">
              <w:rPr>
                <w:rFonts w:hint="eastAsia"/>
                <w:color w:val="000000"/>
                <w:sz w:val="30"/>
                <w:szCs w:val="30"/>
              </w:rPr>
              <w:t>明细</w:t>
            </w:r>
            <w:r>
              <w:rPr>
                <w:color w:val="000000"/>
                <w:sz w:val="30"/>
                <w:szCs w:val="30"/>
              </w:rPr>
              <w:t>表</w:t>
            </w:r>
          </w:p>
        </w:tc>
      </w:tr>
      <w:tr w:rsidR="00B87C8A" w:rsidTr="007A4732">
        <w:trPr>
          <w:gridAfter w:val="5"/>
          <w:wAfter w:w="8100" w:type="dxa"/>
          <w:trHeight w:val="90"/>
        </w:trPr>
        <w:tc>
          <w:tcPr>
            <w:tcW w:w="1204" w:type="dxa"/>
            <w:gridSpan w:val="2"/>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68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2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17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2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20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920" w:type="dxa"/>
            <w:gridSpan w:val="2"/>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公开06表</w:t>
            </w:r>
          </w:p>
        </w:tc>
      </w:tr>
      <w:tr w:rsidR="00B87C8A" w:rsidTr="007A4732">
        <w:trPr>
          <w:gridAfter w:val="5"/>
          <w:wAfter w:w="8100" w:type="dxa"/>
          <w:trHeight w:val="264"/>
        </w:trPr>
        <w:tc>
          <w:tcPr>
            <w:tcW w:w="3892" w:type="dxa"/>
            <w:gridSpan w:val="3"/>
            <w:tcBorders>
              <w:top w:val="nil"/>
              <w:left w:val="nil"/>
              <w:bottom w:val="nil"/>
              <w:right w:val="nil"/>
              <w:tl2br w:val="nil"/>
              <w:tr2bl w:val="nil"/>
            </w:tcBorders>
            <w:noWrap/>
            <w:vAlign w:val="bottom"/>
          </w:tcPr>
          <w:p w:rsidR="00B87C8A" w:rsidRDefault="002D1C8A">
            <w:pPr>
              <w:rPr>
                <w:rFonts w:ascii="Arial" w:hAnsi="Arial" w:cs="Arial"/>
                <w:color w:val="000000"/>
                <w:sz w:val="20"/>
                <w:szCs w:val="20"/>
              </w:rPr>
            </w:pPr>
            <w:r>
              <w:rPr>
                <w:color w:val="000000"/>
                <w:sz w:val="20"/>
                <w:szCs w:val="20"/>
              </w:rPr>
              <w:t>部门：吉首大学</w:t>
            </w:r>
          </w:p>
        </w:tc>
        <w:tc>
          <w:tcPr>
            <w:tcW w:w="122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17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2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20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920" w:type="dxa"/>
            <w:gridSpan w:val="2"/>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rsidTr="007A4732">
        <w:trPr>
          <w:gridAfter w:val="5"/>
          <w:wAfter w:w="8100" w:type="dxa"/>
          <w:trHeight w:val="308"/>
        </w:trPr>
        <w:tc>
          <w:tcPr>
            <w:tcW w:w="5116"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人员经费</w:t>
            </w:r>
          </w:p>
        </w:tc>
        <w:tc>
          <w:tcPr>
            <w:tcW w:w="10104" w:type="dxa"/>
            <w:gridSpan w:val="7"/>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abs>
                <w:tab w:val="left" w:pos="10116"/>
              </w:tabs>
              <w:jc w:val="center"/>
              <w:textAlignment w:val="center"/>
              <w:rPr>
                <w:color w:val="000000"/>
                <w:sz w:val="22"/>
              </w:rPr>
            </w:pPr>
            <w:r>
              <w:rPr>
                <w:color w:val="000000"/>
                <w:sz w:val="22"/>
              </w:rPr>
              <w:t>公用经费</w:t>
            </w:r>
          </w:p>
        </w:tc>
      </w:tr>
      <w:tr w:rsidR="00B87C8A" w:rsidTr="00A10504">
        <w:trPr>
          <w:gridAfter w:val="5"/>
          <w:wAfter w:w="8100" w:type="dxa"/>
          <w:trHeight w:val="308"/>
        </w:trPr>
        <w:tc>
          <w:tcPr>
            <w:tcW w:w="1146"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经济分类科目编码</w:t>
            </w:r>
          </w:p>
        </w:tc>
        <w:tc>
          <w:tcPr>
            <w:tcW w:w="2746"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22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决算数</w:t>
            </w:r>
          </w:p>
        </w:tc>
        <w:tc>
          <w:tcPr>
            <w:tcW w:w="11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经济分类科目编码</w:t>
            </w:r>
          </w:p>
        </w:tc>
        <w:tc>
          <w:tcPr>
            <w:tcW w:w="232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2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决算数</w:t>
            </w:r>
          </w:p>
        </w:tc>
        <w:tc>
          <w:tcPr>
            <w:tcW w:w="127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经济分类科目编码</w:t>
            </w:r>
          </w:p>
        </w:tc>
        <w:tc>
          <w:tcPr>
            <w:tcW w:w="2670"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45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决算数</w:t>
            </w:r>
          </w:p>
        </w:tc>
      </w:tr>
      <w:tr w:rsidR="00B87C8A" w:rsidTr="00A10504">
        <w:trPr>
          <w:gridAfter w:val="5"/>
          <w:wAfter w:w="8100" w:type="dxa"/>
          <w:trHeight w:val="308"/>
        </w:trPr>
        <w:tc>
          <w:tcPr>
            <w:tcW w:w="1146"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2746"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2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1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23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7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2670"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45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工资福利支出</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22,971.99</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商品和服务支出</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2,105.92</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307</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债务利息及费用支出</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30101</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基本工资</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6,130.56</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30201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办公费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147.09</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30701</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国内债务付息</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30102</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津贴补贴</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570.60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30202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印刷费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96.28</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30702</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国外债务付息</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30103</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奖金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30203</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咨询费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资本性支出</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603AFA"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30106</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 xml:space="preserve">  伙食补助费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603AFA" w:rsidRDefault="00603AFA">
            <w:pPr>
              <w:jc w:val="right"/>
              <w:rPr>
                <w:color w:val="000000"/>
                <w:sz w:val="22"/>
                <w:szCs w:val="22"/>
              </w:rPr>
            </w:pPr>
            <w:r>
              <w:rPr>
                <w:rFonts w:hint="eastAsia"/>
                <w:color w:val="000000"/>
                <w:sz w:val="22"/>
                <w:szCs w:val="22"/>
              </w:rPr>
              <w:t>246.49</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30204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 xml:space="preserve">  手续费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603AFA" w:rsidRPr="00F3533C" w:rsidRDefault="00603AFA"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31001</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 xml:space="preserve">  房屋建筑物购建</w:t>
            </w:r>
          </w:p>
        </w:tc>
        <w:tc>
          <w:tcPr>
            <w:tcW w:w="1458" w:type="dxa"/>
            <w:tcBorders>
              <w:top w:val="nil"/>
              <w:left w:val="nil"/>
              <w:bottom w:val="single" w:sz="4" w:space="0" w:color="000000"/>
              <w:right w:val="single" w:sz="4" w:space="0" w:color="000000"/>
              <w:tl2br w:val="nil"/>
              <w:tr2bl w:val="nil"/>
            </w:tcBorders>
            <w:noWrap/>
            <w:vAlign w:val="center"/>
          </w:tcPr>
          <w:p w:rsidR="00603AFA" w:rsidRPr="004A4DC4" w:rsidRDefault="00603AFA" w:rsidP="004A4DC4">
            <w:pPr>
              <w:textAlignment w:val="center"/>
              <w:rPr>
                <w:color w:val="000000"/>
                <w:sz w:val="22"/>
              </w:rPr>
            </w:pPr>
          </w:p>
        </w:tc>
      </w:tr>
      <w:tr w:rsidR="00603AFA"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30107</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 xml:space="preserve">  绩效工资</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603AFA" w:rsidRDefault="00603AFA">
            <w:pPr>
              <w:jc w:val="right"/>
              <w:rPr>
                <w:color w:val="000000"/>
                <w:sz w:val="22"/>
                <w:szCs w:val="22"/>
              </w:rPr>
            </w:pPr>
            <w:r>
              <w:rPr>
                <w:rFonts w:hint="eastAsia"/>
                <w:color w:val="000000"/>
                <w:sz w:val="22"/>
                <w:szCs w:val="22"/>
              </w:rPr>
              <w:t>11,847.20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30205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 xml:space="preserve">  水费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603AFA" w:rsidRPr="00F3533C" w:rsidRDefault="00603AFA"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31002</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603AFA" w:rsidRDefault="00603AFA">
            <w:pPr>
              <w:textAlignment w:val="center"/>
              <w:rPr>
                <w:color w:val="000000"/>
                <w:sz w:val="22"/>
              </w:rPr>
            </w:pPr>
            <w:r>
              <w:rPr>
                <w:color w:val="000000"/>
                <w:sz w:val="22"/>
              </w:rPr>
              <w:t xml:space="preserve">  办公设备购置</w:t>
            </w:r>
          </w:p>
        </w:tc>
        <w:tc>
          <w:tcPr>
            <w:tcW w:w="1458" w:type="dxa"/>
            <w:tcBorders>
              <w:top w:val="nil"/>
              <w:left w:val="nil"/>
              <w:bottom w:val="single" w:sz="4" w:space="0" w:color="000000"/>
              <w:right w:val="single" w:sz="4" w:space="0" w:color="000000"/>
              <w:tl2br w:val="nil"/>
              <w:tr2bl w:val="nil"/>
            </w:tcBorders>
            <w:noWrap/>
            <w:vAlign w:val="center"/>
          </w:tcPr>
          <w:p w:rsidR="00603AFA" w:rsidRPr="004A4DC4" w:rsidRDefault="00603AFA"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30108</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机关事业单位基本养老保险缴费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1,250.00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30206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电费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319.00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31003</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专用设备购置</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30109</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职业年金缴费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30207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邮电费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14.94</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31005</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基础设施建设</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30110</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职工基本医疗保险缴费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0D4FB2" w:rsidP="000D4FB2">
            <w:pPr>
              <w:jc w:val="right"/>
              <w:rPr>
                <w:color w:val="000000"/>
                <w:sz w:val="22"/>
              </w:rPr>
            </w:pPr>
            <w:r w:rsidRPr="000D4FB2">
              <w:rPr>
                <w:color w:val="000000"/>
                <w:sz w:val="22"/>
                <w:szCs w:val="22"/>
              </w:rPr>
              <w:t>389.00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取暖费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31006</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大型修缮</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30111</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公务员医疗补助缴费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30209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物业管理费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725.67</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31007</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信息网络及软件购置更新</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30112</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其他社会保障缴费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30211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差旅费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110.00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31008</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物资储备</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30113</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住房公积金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DE39B0" w:rsidP="00DE39B0">
            <w:pPr>
              <w:jc w:val="right"/>
              <w:rPr>
                <w:color w:val="000000"/>
                <w:sz w:val="22"/>
              </w:rPr>
            </w:pPr>
            <w:r w:rsidRPr="00DE39B0">
              <w:rPr>
                <w:color w:val="000000"/>
                <w:sz w:val="22"/>
                <w:szCs w:val="22"/>
              </w:rPr>
              <w:t>2,000.00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因公出国（境）费用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31009</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土地补偿</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30114</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医疗费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30213</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维修（护）费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31010</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安置补助</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30199</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其他工资福利支出</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538.14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30214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租赁费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31011</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地上附着物和青苗补偿</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对个人和家庭的补助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531.89</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30215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会议费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31012</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拆迁补偿</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30301</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离休费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DE39B0" w:rsidP="00DE39B0">
            <w:pPr>
              <w:jc w:val="right"/>
              <w:rPr>
                <w:color w:val="000000"/>
                <w:sz w:val="22"/>
              </w:rPr>
            </w:pPr>
            <w:r w:rsidRPr="00DE39B0">
              <w:rPr>
                <w:color w:val="000000"/>
                <w:sz w:val="22"/>
                <w:szCs w:val="22"/>
              </w:rPr>
              <w:t>6.47</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培训费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31013</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公务用车购置</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30302</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退休费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30217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公务接待费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20.00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31019</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其他交通工具购置</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30303</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退职（役）费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30218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专用材料费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207.02</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31021</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文物和陈列品购置</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30304</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抚恤金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11.91</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30224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被装购置费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31022</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无形资产购置</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30305</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生活补助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445.63</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30225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专用燃料费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31099</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其他资本性支出</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30306</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救济费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30226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劳务费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109.25</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399</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其他支出</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DE39B0"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30307</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医疗费补助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DE39B0" w:rsidRPr="00F3533C" w:rsidRDefault="00DE39B0" w:rsidP="00DE39B0">
            <w:pPr>
              <w:jc w:val="right"/>
              <w:rPr>
                <w:color w:val="000000"/>
                <w:sz w:val="22"/>
              </w:rPr>
            </w:pPr>
            <w:r w:rsidRPr="00DE39B0">
              <w:rPr>
                <w:color w:val="000000"/>
                <w:sz w:val="22"/>
                <w:szCs w:val="22"/>
              </w:rPr>
              <w:t>8.64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30227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委托业务费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DE39B0" w:rsidRDefault="00DE39B0">
            <w:pPr>
              <w:jc w:val="right"/>
              <w:rPr>
                <w:color w:val="000000"/>
                <w:sz w:val="22"/>
                <w:szCs w:val="22"/>
              </w:rPr>
            </w:pPr>
            <w:r>
              <w:rPr>
                <w:rFonts w:hint="eastAsia"/>
                <w:color w:val="000000"/>
                <w:sz w:val="22"/>
                <w:szCs w:val="22"/>
              </w:rPr>
              <w:t>214.89</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39907</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DE39B0" w:rsidRDefault="00DE39B0">
            <w:pPr>
              <w:textAlignment w:val="center"/>
              <w:rPr>
                <w:color w:val="000000"/>
                <w:sz w:val="22"/>
              </w:rPr>
            </w:pPr>
            <w:r>
              <w:rPr>
                <w:color w:val="000000"/>
                <w:sz w:val="22"/>
              </w:rPr>
              <w:t xml:space="preserve">  国家赔偿费用支出</w:t>
            </w:r>
          </w:p>
        </w:tc>
        <w:tc>
          <w:tcPr>
            <w:tcW w:w="1458" w:type="dxa"/>
            <w:tcBorders>
              <w:top w:val="nil"/>
              <w:left w:val="nil"/>
              <w:bottom w:val="single" w:sz="4" w:space="0" w:color="000000"/>
              <w:right w:val="single" w:sz="4" w:space="0" w:color="000000"/>
              <w:tl2br w:val="nil"/>
              <w:tr2bl w:val="nil"/>
            </w:tcBorders>
            <w:noWrap/>
            <w:vAlign w:val="center"/>
          </w:tcPr>
          <w:p w:rsidR="00DE39B0" w:rsidRPr="004A4DC4" w:rsidRDefault="00DE39B0"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30308</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助学金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工会经费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39908</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对民间非营利组织和群众性自治组织补贴</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30309</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奖励金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福利费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rFonts w:hint="eastAsia"/>
                <w:color w:val="000000"/>
                <w:sz w:val="22"/>
              </w:rPr>
              <w:t>39909</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Pr="00F3533C" w:rsidRDefault="007A4732" w:rsidP="00F3533C">
            <w:pPr>
              <w:rPr>
                <w:color w:val="000000"/>
                <w:sz w:val="22"/>
                <w:szCs w:val="22"/>
              </w:rPr>
            </w:pPr>
            <w:r>
              <w:rPr>
                <w:rFonts w:hint="eastAsia"/>
                <w:color w:val="000000"/>
                <w:sz w:val="22"/>
                <w:szCs w:val="22"/>
              </w:rPr>
              <w:t xml:space="preserve">  经常性赠与</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4A425C"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lastRenderedPageBreak/>
              <w:t>30310</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 xml:space="preserve">  个人农业生产补贴</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4A425C" w:rsidRPr="00F3533C" w:rsidRDefault="004A425C"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30231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 xml:space="preserve">  公务用车运行维护费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4A425C" w:rsidRDefault="004A425C">
            <w:pPr>
              <w:jc w:val="right"/>
              <w:rPr>
                <w:color w:val="000000"/>
                <w:sz w:val="22"/>
                <w:szCs w:val="22"/>
              </w:rPr>
            </w:pPr>
            <w:r>
              <w:rPr>
                <w:rFonts w:hint="eastAsia"/>
                <w:color w:val="000000"/>
                <w:sz w:val="22"/>
                <w:szCs w:val="22"/>
              </w:rPr>
              <w:t>38.00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rPr>
                <w:color w:val="000000"/>
                <w:sz w:val="22"/>
              </w:rPr>
            </w:pPr>
            <w:r>
              <w:rPr>
                <w:rFonts w:hint="eastAsia"/>
                <w:color w:val="000000"/>
                <w:sz w:val="22"/>
              </w:rPr>
              <w:t>39910</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rsidP="00F3533C">
            <w:pPr>
              <w:ind w:firstLineChars="100" w:firstLine="220"/>
              <w:rPr>
                <w:color w:val="000000"/>
                <w:sz w:val="22"/>
              </w:rPr>
            </w:pPr>
            <w:r>
              <w:rPr>
                <w:rFonts w:hint="eastAsia"/>
                <w:color w:val="000000"/>
                <w:sz w:val="22"/>
              </w:rPr>
              <w:t>资本性赠与</w:t>
            </w:r>
          </w:p>
        </w:tc>
        <w:tc>
          <w:tcPr>
            <w:tcW w:w="1458" w:type="dxa"/>
            <w:tcBorders>
              <w:top w:val="nil"/>
              <w:left w:val="nil"/>
              <w:bottom w:val="single" w:sz="4" w:space="0" w:color="000000"/>
              <w:right w:val="single" w:sz="4" w:space="0" w:color="000000"/>
              <w:tl2br w:val="nil"/>
              <w:tr2bl w:val="nil"/>
            </w:tcBorders>
            <w:noWrap/>
            <w:vAlign w:val="center"/>
          </w:tcPr>
          <w:p w:rsidR="004A425C" w:rsidRPr="004A4DC4" w:rsidRDefault="004A425C" w:rsidP="004A4DC4">
            <w:pPr>
              <w:textAlignment w:val="center"/>
              <w:rPr>
                <w:color w:val="000000"/>
                <w:sz w:val="22"/>
              </w:rPr>
            </w:pPr>
          </w:p>
        </w:tc>
      </w:tr>
      <w:tr w:rsidR="004A425C"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30311</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 xml:space="preserve">  代缴社会保险费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4A425C" w:rsidRPr="00F3533C" w:rsidRDefault="004A425C"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30239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pPr>
              <w:textAlignment w:val="center"/>
              <w:rPr>
                <w:color w:val="000000"/>
                <w:sz w:val="22"/>
              </w:rPr>
            </w:pPr>
            <w:r>
              <w:rPr>
                <w:color w:val="000000"/>
                <w:sz w:val="22"/>
              </w:rPr>
              <w:t xml:space="preserve">  其他交通费用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4A425C" w:rsidRDefault="004A425C">
            <w:pPr>
              <w:jc w:val="right"/>
              <w:rPr>
                <w:color w:val="000000"/>
                <w:sz w:val="22"/>
                <w:szCs w:val="22"/>
              </w:rPr>
            </w:pPr>
            <w:r>
              <w:rPr>
                <w:rFonts w:hint="eastAsia"/>
                <w:color w:val="000000"/>
                <w:sz w:val="22"/>
                <w:szCs w:val="22"/>
              </w:rPr>
              <w:t>13.86</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rsidP="007479CE">
            <w:pPr>
              <w:textAlignment w:val="center"/>
              <w:rPr>
                <w:color w:val="000000"/>
                <w:sz w:val="22"/>
              </w:rPr>
            </w:pPr>
            <w:r>
              <w:rPr>
                <w:color w:val="000000"/>
                <w:sz w:val="22"/>
              </w:rPr>
              <w:t>39999</w:t>
            </w: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4A425C" w:rsidRDefault="004A425C" w:rsidP="007479CE">
            <w:pPr>
              <w:textAlignment w:val="center"/>
              <w:rPr>
                <w:color w:val="000000"/>
                <w:sz w:val="22"/>
              </w:rPr>
            </w:pPr>
            <w:r>
              <w:rPr>
                <w:color w:val="000000"/>
                <w:sz w:val="22"/>
              </w:rPr>
              <w:t xml:space="preserve">  其他支出</w:t>
            </w:r>
          </w:p>
        </w:tc>
        <w:tc>
          <w:tcPr>
            <w:tcW w:w="1458" w:type="dxa"/>
            <w:tcBorders>
              <w:top w:val="nil"/>
              <w:left w:val="nil"/>
              <w:bottom w:val="single" w:sz="4" w:space="0" w:color="000000"/>
              <w:right w:val="single" w:sz="4" w:space="0" w:color="000000"/>
              <w:tl2br w:val="nil"/>
              <w:tr2bl w:val="nil"/>
            </w:tcBorders>
            <w:noWrap/>
            <w:vAlign w:val="center"/>
          </w:tcPr>
          <w:p w:rsidR="004A425C" w:rsidRPr="004A4DC4" w:rsidRDefault="004A425C" w:rsidP="004A4DC4">
            <w:pPr>
              <w:textAlignment w:val="center"/>
              <w:rPr>
                <w:color w:val="000000"/>
                <w:sz w:val="22"/>
              </w:rPr>
            </w:pP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30399</w:t>
            </w: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其他对个人和家庭的补助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DE39B0" w:rsidRDefault="00DE39B0" w:rsidP="00DE39B0">
            <w:pPr>
              <w:jc w:val="right"/>
              <w:rPr>
                <w:color w:val="000000"/>
                <w:sz w:val="22"/>
                <w:szCs w:val="22"/>
              </w:rPr>
            </w:pPr>
            <w:r w:rsidRPr="00DE39B0">
              <w:rPr>
                <w:color w:val="000000"/>
                <w:sz w:val="22"/>
                <w:szCs w:val="22"/>
              </w:rPr>
              <w:t>59.24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30240</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税金及附加费用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r w:rsidRPr="004A4DC4">
              <w:rPr>
                <w:rFonts w:hint="eastAsia"/>
                <w:color w:val="000000"/>
                <w:sz w:val="22"/>
              </w:rPr>
              <w:t xml:space="preserve">　</w:t>
            </w:r>
          </w:p>
        </w:tc>
      </w:tr>
      <w:tr w:rsidR="007A4732" w:rsidTr="00A10504">
        <w:trPr>
          <w:gridAfter w:val="5"/>
          <w:wAfter w:w="8100" w:type="dxa"/>
          <w:trHeight w:val="308"/>
        </w:trPr>
        <w:tc>
          <w:tcPr>
            <w:tcW w:w="114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2746"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 xml:space="preserve">　</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30299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其他商品和服务支出</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4A425C" w:rsidRDefault="004A425C" w:rsidP="004A425C">
            <w:pPr>
              <w:jc w:val="right"/>
              <w:rPr>
                <w:color w:val="000000"/>
                <w:sz w:val="22"/>
                <w:szCs w:val="22"/>
              </w:rPr>
            </w:pPr>
            <w:r w:rsidRPr="004A425C">
              <w:rPr>
                <w:color w:val="000000"/>
                <w:sz w:val="22"/>
                <w:szCs w:val="22"/>
              </w:rPr>
              <w:t>89.91</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2670" w:type="dxa"/>
            <w:gridSpan w:val="2"/>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r w:rsidRPr="004A4DC4">
              <w:rPr>
                <w:rFonts w:hint="eastAsia"/>
                <w:color w:val="000000"/>
                <w:sz w:val="22"/>
              </w:rPr>
              <w:t xml:space="preserve">　</w:t>
            </w:r>
          </w:p>
        </w:tc>
      </w:tr>
      <w:tr w:rsidR="007A4732" w:rsidTr="00A10504">
        <w:trPr>
          <w:trHeight w:val="308"/>
        </w:trPr>
        <w:tc>
          <w:tcPr>
            <w:tcW w:w="3892" w:type="dxa"/>
            <w:gridSpan w:val="3"/>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人员经费合计</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DE39B0" w:rsidP="00F3533C">
            <w:pPr>
              <w:textAlignment w:val="center"/>
              <w:rPr>
                <w:color w:val="000000"/>
                <w:sz w:val="22"/>
              </w:rPr>
            </w:pPr>
            <w:r w:rsidRPr="00DE39B0">
              <w:rPr>
                <w:color w:val="000000"/>
                <w:sz w:val="22"/>
              </w:rPr>
              <w:t>23,503.89</w:t>
            </w:r>
          </w:p>
        </w:tc>
        <w:tc>
          <w:tcPr>
            <w:tcW w:w="8646" w:type="dxa"/>
            <w:gridSpan w:val="6"/>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rsidP="007A4732">
            <w:pPr>
              <w:textAlignment w:val="center"/>
              <w:rPr>
                <w:color w:val="000000"/>
                <w:sz w:val="22"/>
                <w:szCs w:val="22"/>
              </w:rPr>
            </w:pPr>
            <w:r w:rsidRPr="007A4732">
              <w:rPr>
                <w:rFonts w:hint="eastAsia"/>
                <w:color w:val="000000"/>
                <w:sz w:val="22"/>
              </w:rPr>
              <w:t>公用经费合计</w:t>
            </w:r>
          </w:p>
        </w:tc>
        <w:tc>
          <w:tcPr>
            <w:tcW w:w="1458" w:type="dxa"/>
            <w:tcBorders>
              <w:top w:val="nil"/>
              <w:left w:val="nil"/>
              <w:bottom w:val="single" w:sz="4" w:space="0" w:color="000000"/>
              <w:right w:val="single" w:sz="4" w:space="0" w:color="000000"/>
              <w:tl2br w:val="nil"/>
              <w:tr2bl w:val="nil"/>
            </w:tcBorders>
            <w:noWrap/>
            <w:vAlign w:val="center"/>
          </w:tcPr>
          <w:p w:rsidR="007A4732" w:rsidRPr="004A4DC4" w:rsidRDefault="004A425C" w:rsidP="004A4DC4">
            <w:pPr>
              <w:textAlignment w:val="center"/>
              <w:rPr>
                <w:color w:val="000000"/>
                <w:sz w:val="22"/>
              </w:rPr>
            </w:pPr>
            <w:r w:rsidRPr="004A425C">
              <w:rPr>
                <w:color w:val="000000"/>
                <w:sz w:val="22"/>
              </w:rPr>
              <w:t>2,105.92</w:t>
            </w:r>
          </w:p>
        </w:tc>
        <w:tc>
          <w:tcPr>
            <w:tcW w:w="1620" w:type="dxa"/>
          </w:tcPr>
          <w:p w:rsidR="007A4732" w:rsidRDefault="007A4732"/>
        </w:tc>
        <w:tc>
          <w:tcPr>
            <w:tcW w:w="1620" w:type="dxa"/>
          </w:tcPr>
          <w:p w:rsidR="007A4732" w:rsidRDefault="007A4732"/>
        </w:tc>
        <w:tc>
          <w:tcPr>
            <w:tcW w:w="1620" w:type="dxa"/>
          </w:tcPr>
          <w:p w:rsidR="007A4732" w:rsidRDefault="007A4732"/>
        </w:tc>
        <w:tc>
          <w:tcPr>
            <w:tcW w:w="1620" w:type="dxa"/>
          </w:tcPr>
          <w:p w:rsidR="007A4732" w:rsidRDefault="007A4732"/>
        </w:tc>
        <w:tc>
          <w:tcPr>
            <w:tcW w:w="1620" w:type="dxa"/>
            <w:vAlign w:val="center"/>
          </w:tcPr>
          <w:p w:rsidR="007A4732" w:rsidRDefault="007A4732">
            <w:pPr>
              <w:jc w:val="right"/>
              <w:rPr>
                <w:color w:val="000000"/>
                <w:sz w:val="22"/>
                <w:szCs w:val="22"/>
              </w:rPr>
            </w:pPr>
            <w:r>
              <w:rPr>
                <w:rFonts w:hint="eastAsia"/>
                <w:color w:val="000000"/>
                <w:sz w:val="22"/>
                <w:szCs w:val="22"/>
              </w:rPr>
              <w:t>1,774.11</w:t>
            </w:r>
          </w:p>
        </w:tc>
      </w:tr>
    </w:tbl>
    <w:p w:rsidR="00FD5607" w:rsidRDefault="00FD5607">
      <w:pPr>
        <w:textAlignment w:val="center"/>
        <w:rPr>
          <w:color w:val="000000"/>
          <w:sz w:val="22"/>
        </w:rPr>
        <w:sectPr w:rsidR="00FD5607">
          <w:pgSz w:w="16838" w:h="11906" w:orient="landscape"/>
          <w:pgMar w:top="720" w:right="873" w:bottom="720" w:left="720" w:header="720" w:footer="720" w:gutter="0"/>
          <w:cols w:space="720"/>
        </w:sectPr>
      </w:pPr>
    </w:p>
    <w:tbl>
      <w:tblPr>
        <w:tblW w:w="15365" w:type="dxa"/>
        <w:tblInd w:w="96" w:type="dxa"/>
        <w:tblLook w:val="04A0" w:firstRow="1" w:lastRow="0" w:firstColumn="1" w:lastColumn="0" w:noHBand="0" w:noVBand="1"/>
      </w:tblPr>
      <w:tblGrid>
        <w:gridCol w:w="1675"/>
        <w:gridCol w:w="231"/>
        <w:gridCol w:w="231"/>
        <w:gridCol w:w="2835"/>
        <w:gridCol w:w="1923"/>
        <w:gridCol w:w="1543"/>
        <w:gridCol w:w="1733"/>
        <w:gridCol w:w="1733"/>
        <w:gridCol w:w="1733"/>
        <w:gridCol w:w="1728"/>
      </w:tblGrid>
      <w:tr w:rsidR="00FD5607" w:rsidTr="00FD5607">
        <w:trPr>
          <w:trHeight w:val="384"/>
        </w:trPr>
        <w:tc>
          <w:tcPr>
            <w:tcW w:w="15365" w:type="dxa"/>
            <w:gridSpan w:val="10"/>
            <w:tcBorders>
              <w:top w:val="nil"/>
              <w:left w:val="nil"/>
              <w:bottom w:val="nil"/>
              <w:right w:val="nil"/>
              <w:tl2br w:val="nil"/>
              <w:tr2bl w:val="nil"/>
            </w:tcBorders>
            <w:noWrap/>
            <w:vAlign w:val="bottom"/>
          </w:tcPr>
          <w:p w:rsidR="00FD5607" w:rsidRDefault="00FD5607" w:rsidP="007479CE">
            <w:pPr>
              <w:jc w:val="center"/>
              <w:textAlignment w:val="bottom"/>
              <w:rPr>
                <w:color w:val="000000"/>
                <w:sz w:val="30"/>
                <w:szCs w:val="30"/>
              </w:rPr>
            </w:pPr>
            <w:r>
              <w:rPr>
                <w:rFonts w:hint="eastAsia"/>
                <w:color w:val="000000"/>
                <w:sz w:val="30"/>
                <w:szCs w:val="30"/>
              </w:rPr>
              <w:lastRenderedPageBreak/>
              <w:t>七</w:t>
            </w:r>
            <w:r>
              <w:rPr>
                <w:color w:val="000000"/>
                <w:sz w:val="30"/>
                <w:szCs w:val="30"/>
              </w:rPr>
              <w:t>、政府性基金预算财政拨款收入支出决算表</w:t>
            </w:r>
          </w:p>
        </w:tc>
      </w:tr>
      <w:tr w:rsidR="00FD5607" w:rsidTr="00FD5607">
        <w:trPr>
          <w:trHeight w:val="264"/>
        </w:trPr>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926"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545"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731" w:type="dxa"/>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公开08表</w:t>
            </w:r>
          </w:p>
        </w:tc>
      </w:tr>
      <w:tr w:rsidR="00FD5607" w:rsidTr="00FD5607">
        <w:trPr>
          <w:trHeight w:val="264"/>
        </w:trPr>
        <w:tc>
          <w:tcPr>
            <w:tcW w:w="0" w:type="auto"/>
            <w:tcBorders>
              <w:top w:val="nil"/>
              <w:left w:val="nil"/>
              <w:bottom w:val="nil"/>
              <w:right w:val="nil"/>
              <w:tl2br w:val="nil"/>
              <w:tr2bl w:val="nil"/>
            </w:tcBorders>
            <w:noWrap/>
            <w:vAlign w:val="bottom"/>
          </w:tcPr>
          <w:p w:rsidR="00FD5607" w:rsidRDefault="00FD5607" w:rsidP="007479CE">
            <w:pPr>
              <w:textAlignment w:val="bottom"/>
              <w:rPr>
                <w:color w:val="000000"/>
                <w:sz w:val="20"/>
                <w:szCs w:val="20"/>
              </w:rPr>
            </w:pPr>
            <w:r>
              <w:rPr>
                <w:color w:val="000000"/>
                <w:sz w:val="20"/>
                <w:szCs w:val="20"/>
              </w:rPr>
              <w:t>部门：吉首大学</w:t>
            </w: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926"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545"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731" w:type="dxa"/>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金额单位：万元</w:t>
            </w:r>
          </w:p>
        </w:tc>
      </w:tr>
      <w:tr w:rsidR="00FD5607" w:rsidTr="00FD5607">
        <w:trPr>
          <w:trHeight w:val="308"/>
        </w:trPr>
        <w:tc>
          <w:tcPr>
            <w:tcW w:w="4955"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     目</w:t>
            </w:r>
          </w:p>
        </w:tc>
        <w:tc>
          <w:tcPr>
            <w:tcW w:w="1926"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年初结转和结余</w:t>
            </w:r>
          </w:p>
        </w:tc>
        <w:tc>
          <w:tcPr>
            <w:tcW w:w="1545"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本年收入</w:t>
            </w:r>
          </w:p>
        </w:tc>
        <w:tc>
          <w:tcPr>
            <w:tcW w:w="5208"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本年支出</w:t>
            </w:r>
          </w:p>
        </w:tc>
        <w:tc>
          <w:tcPr>
            <w:tcW w:w="1731"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年末结转和结余</w:t>
            </w:r>
          </w:p>
        </w:tc>
      </w:tr>
      <w:tr w:rsidR="00FD5607" w:rsidTr="00FD5607">
        <w:trPr>
          <w:trHeight w:val="848"/>
        </w:trPr>
        <w:tc>
          <w:tcPr>
            <w:tcW w:w="2150" w:type="dxa"/>
            <w:gridSpan w:val="3"/>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功能分类科目编码</w:t>
            </w:r>
          </w:p>
        </w:tc>
        <w:tc>
          <w:tcPr>
            <w:tcW w:w="2805"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科目名称</w:t>
            </w:r>
          </w:p>
        </w:tc>
        <w:tc>
          <w:tcPr>
            <w:tcW w:w="192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1545"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173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小计</w:t>
            </w:r>
          </w:p>
        </w:tc>
        <w:tc>
          <w:tcPr>
            <w:tcW w:w="173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基本支出</w:t>
            </w:r>
          </w:p>
        </w:tc>
        <w:tc>
          <w:tcPr>
            <w:tcW w:w="173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项目支出</w:t>
            </w:r>
          </w:p>
        </w:tc>
        <w:tc>
          <w:tcPr>
            <w:tcW w:w="1731"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r>
      <w:tr w:rsidR="00FD5607" w:rsidTr="00FD5607">
        <w:trPr>
          <w:trHeight w:val="308"/>
        </w:trPr>
        <w:tc>
          <w:tcPr>
            <w:tcW w:w="4955"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栏  次</w:t>
            </w:r>
          </w:p>
        </w:tc>
        <w:tc>
          <w:tcPr>
            <w:tcW w:w="192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1</w:t>
            </w:r>
          </w:p>
        </w:tc>
        <w:tc>
          <w:tcPr>
            <w:tcW w:w="1545"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2</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3</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4</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5</w:t>
            </w:r>
          </w:p>
        </w:tc>
        <w:tc>
          <w:tcPr>
            <w:tcW w:w="1731"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6</w:t>
            </w:r>
          </w:p>
        </w:tc>
      </w:tr>
      <w:tr w:rsidR="00FD5607" w:rsidTr="00FD5607">
        <w:trPr>
          <w:trHeight w:val="308"/>
        </w:trPr>
        <w:tc>
          <w:tcPr>
            <w:tcW w:w="4955"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合  计</w:t>
            </w: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15365" w:type="dxa"/>
            <w:gridSpan w:val="10"/>
            <w:tcBorders>
              <w:top w:val="nil"/>
              <w:left w:val="nil"/>
              <w:bottom w:val="nil"/>
              <w:right w:val="nil"/>
              <w:tl2br w:val="nil"/>
              <w:tr2bl w:val="nil"/>
            </w:tcBorders>
            <w:noWrap/>
            <w:vAlign w:val="center"/>
          </w:tcPr>
          <w:p w:rsidR="00FD5607" w:rsidRDefault="00FD5607" w:rsidP="007479CE">
            <w:pPr>
              <w:textAlignment w:val="center"/>
              <w:rPr>
                <w:color w:val="000000"/>
                <w:sz w:val="22"/>
              </w:rPr>
            </w:pPr>
            <w:r>
              <w:rPr>
                <w:color w:val="000000"/>
                <w:sz w:val="22"/>
              </w:rPr>
              <w:t>注：本表反映部门本年度政府性基金预算财政拨款收入、支出及结转和结余情况。</w:t>
            </w:r>
          </w:p>
          <w:p w:rsidR="00FD5607" w:rsidRDefault="00FD5607" w:rsidP="007479CE">
            <w:pPr>
              <w:textAlignment w:val="center"/>
              <w:rPr>
                <w:color w:val="000000"/>
                <w:sz w:val="22"/>
              </w:rPr>
            </w:pPr>
          </w:p>
        </w:tc>
      </w:tr>
      <w:tr w:rsidR="00FD5607" w:rsidTr="00FD5607">
        <w:trPr>
          <w:trHeight w:val="308"/>
        </w:trPr>
        <w:tc>
          <w:tcPr>
            <w:tcW w:w="15365" w:type="dxa"/>
            <w:gridSpan w:val="10"/>
            <w:tcBorders>
              <w:top w:val="nil"/>
              <w:left w:val="nil"/>
              <w:bottom w:val="nil"/>
              <w:right w:val="nil"/>
              <w:tl2br w:val="nil"/>
              <w:tr2bl w:val="nil"/>
            </w:tcBorders>
            <w:noWrap/>
            <w:vAlign w:val="center"/>
          </w:tcPr>
          <w:p w:rsidR="00FD5607" w:rsidRDefault="00FD5607" w:rsidP="007479CE">
            <w:pPr>
              <w:textAlignment w:val="center"/>
              <w:rPr>
                <w:color w:val="000000"/>
                <w:sz w:val="22"/>
              </w:rPr>
            </w:pPr>
            <w:r>
              <w:rPr>
                <w:color w:val="000000"/>
                <w:sz w:val="22"/>
              </w:rPr>
              <w:t>说明：我单位没有政府性基金收入，也没有使用政府性基金安排的支出，故本表无数据。</w:t>
            </w:r>
          </w:p>
        </w:tc>
      </w:tr>
    </w:tbl>
    <w:p w:rsidR="00FD5607" w:rsidRDefault="00FD5607">
      <w:pPr>
        <w:textAlignment w:val="center"/>
        <w:rPr>
          <w:color w:val="000000"/>
          <w:sz w:val="22"/>
        </w:rPr>
        <w:sectPr w:rsidR="00FD5607">
          <w:pgSz w:w="16838" w:h="11906" w:orient="landscape"/>
          <w:pgMar w:top="720" w:right="873" w:bottom="720" w:left="720" w:header="720" w:footer="720" w:gutter="0"/>
          <w:cols w:space="720"/>
        </w:sectPr>
      </w:pPr>
    </w:p>
    <w:tbl>
      <w:tblPr>
        <w:tblW w:w="15292" w:type="dxa"/>
        <w:tblInd w:w="96" w:type="dxa"/>
        <w:tblLayout w:type="fixed"/>
        <w:tblLook w:val="04A0" w:firstRow="1" w:lastRow="0" w:firstColumn="1" w:lastColumn="0" w:noHBand="0" w:noVBand="1"/>
      </w:tblPr>
      <w:tblGrid>
        <w:gridCol w:w="2328"/>
        <w:gridCol w:w="319"/>
        <w:gridCol w:w="319"/>
        <w:gridCol w:w="3554"/>
        <w:gridCol w:w="2748"/>
        <w:gridCol w:w="2664"/>
        <w:gridCol w:w="1728"/>
        <w:gridCol w:w="1632"/>
      </w:tblGrid>
      <w:tr w:rsidR="00FD5607" w:rsidTr="00FD5607">
        <w:trPr>
          <w:trHeight w:val="384"/>
        </w:trPr>
        <w:tc>
          <w:tcPr>
            <w:tcW w:w="15292" w:type="dxa"/>
            <w:gridSpan w:val="8"/>
            <w:tcBorders>
              <w:top w:val="nil"/>
              <w:left w:val="nil"/>
              <w:bottom w:val="nil"/>
              <w:right w:val="nil"/>
              <w:tl2br w:val="nil"/>
              <w:tr2bl w:val="nil"/>
            </w:tcBorders>
            <w:noWrap/>
            <w:vAlign w:val="bottom"/>
          </w:tcPr>
          <w:p w:rsidR="00FD5607" w:rsidRDefault="00FD5607" w:rsidP="007479CE">
            <w:pPr>
              <w:jc w:val="center"/>
              <w:textAlignment w:val="bottom"/>
              <w:rPr>
                <w:color w:val="000000"/>
                <w:sz w:val="30"/>
                <w:szCs w:val="30"/>
              </w:rPr>
            </w:pPr>
            <w:r>
              <w:rPr>
                <w:rFonts w:hint="eastAsia"/>
                <w:color w:val="000000"/>
                <w:sz w:val="30"/>
                <w:szCs w:val="30"/>
              </w:rPr>
              <w:lastRenderedPageBreak/>
              <w:t>八</w:t>
            </w:r>
            <w:r>
              <w:rPr>
                <w:color w:val="000000"/>
                <w:sz w:val="30"/>
                <w:szCs w:val="30"/>
              </w:rPr>
              <w:t>、国有资本经营预算财政拨款支出决算表</w:t>
            </w:r>
          </w:p>
        </w:tc>
      </w:tr>
      <w:tr w:rsidR="00FD5607" w:rsidTr="00FD5607">
        <w:trPr>
          <w:trHeight w:val="264"/>
        </w:trPr>
        <w:tc>
          <w:tcPr>
            <w:tcW w:w="2328"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55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748"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66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360" w:type="dxa"/>
            <w:gridSpan w:val="2"/>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公开09表</w:t>
            </w:r>
          </w:p>
        </w:tc>
      </w:tr>
      <w:tr w:rsidR="00FD5607" w:rsidTr="00FD5607">
        <w:trPr>
          <w:trHeight w:val="264"/>
        </w:trPr>
        <w:tc>
          <w:tcPr>
            <w:tcW w:w="2328" w:type="dxa"/>
            <w:tcBorders>
              <w:top w:val="nil"/>
              <w:left w:val="nil"/>
              <w:bottom w:val="nil"/>
              <w:right w:val="nil"/>
              <w:tl2br w:val="nil"/>
              <w:tr2bl w:val="nil"/>
            </w:tcBorders>
            <w:noWrap/>
            <w:vAlign w:val="bottom"/>
          </w:tcPr>
          <w:p w:rsidR="00FD5607" w:rsidRDefault="00FD5607" w:rsidP="007479CE">
            <w:pPr>
              <w:textAlignment w:val="bottom"/>
              <w:rPr>
                <w:color w:val="000000"/>
                <w:sz w:val="20"/>
                <w:szCs w:val="20"/>
              </w:rPr>
            </w:pPr>
            <w:r>
              <w:rPr>
                <w:color w:val="000000"/>
                <w:sz w:val="20"/>
                <w:szCs w:val="20"/>
              </w:rPr>
              <w:t>部门：吉首大学</w:t>
            </w: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55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748"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66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360" w:type="dxa"/>
            <w:gridSpan w:val="2"/>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金额单位：万元</w:t>
            </w:r>
          </w:p>
        </w:tc>
      </w:tr>
      <w:tr w:rsidR="00FD5607" w:rsidTr="00FD5607">
        <w:trPr>
          <w:trHeight w:val="417"/>
        </w:trPr>
        <w:tc>
          <w:tcPr>
            <w:tcW w:w="6520"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项目</w:t>
            </w:r>
          </w:p>
        </w:tc>
        <w:tc>
          <w:tcPr>
            <w:tcW w:w="8772" w:type="dxa"/>
            <w:gridSpan w:val="4"/>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本年支出</w:t>
            </w:r>
          </w:p>
        </w:tc>
      </w:tr>
      <w:tr w:rsidR="00FD5607" w:rsidTr="00FD5607">
        <w:trPr>
          <w:trHeight w:val="308"/>
        </w:trPr>
        <w:tc>
          <w:tcPr>
            <w:tcW w:w="2966"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功能分类科目编码</w:t>
            </w:r>
          </w:p>
        </w:tc>
        <w:tc>
          <w:tcPr>
            <w:tcW w:w="355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科目名称</w:t>
            </w:r>
          </w:p>
        </w:tc>
        <w:tc>
          <w:tcPr>
            <w:tcW w:w="274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合计</w:t>
            </w:r>
          </w:p>
        </w:tc>
        <w:tc>
          <w:tcPr>
            <w:tcW w:w="266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基本支出</w:t>
            </w:r>
          </w:p>
        </w:tc>
        <w:tc>
          <w:tcPr>
            <w:tcW w:w="3360"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项目支出</w:t>
            </w:r>
          </w:p>
        </w:tc>
      </w:tr>
      <w:tr w:rsidR="00FD5607" w:rsidTr="00FD5607">
        <w:trPr>
          <w:trHeight w:val="308"/>
        </w:trPr>
        <w:tc>
          <w:tcPr>
            <w:tcW w:w="2966"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55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748"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66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360"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r>
      <w:tr w:rsidR="00FD5607" w:rsidTr="00FD5607">
        <w:trPr>
          <w:trHeight w:val="315"/>
        </w:trPr>
        <w:tc>
          <w:tcPr>
            <w:tcW w:w="2966"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55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748"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66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360"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r>
      <w:tr w:rsidR="00FD5607" w:rsidTr="00FD5607">
        <w:trPr>
          <w:trHeight w:val="308"/>
        </w:trPr>
        <w:tc>
          <w:tcPr>
            <w:tcW w:w="65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bottom"/>
          </w:tcPr>
          <w:p w:rsidR="00FD5607" w:rsidRDefault="00FD5607" w:rsidP="007479CE">
            <w:pPr>
              <w:jc w:val="center"/>
              <w:textAlignment w:val="bottom"/>
              <w:rPr>
                <w:color w:val="000000"/>
                <w:sz w:val="22"/>
              </w:rPr>
            </w:pPr>
            <w:r>
              <w:rPr>
                <w:color w:val="000000"/>
                <w:sz w:val="22"/>
              </w:rPr>
              <w:t>栏次</w:t>
            </w:r>
          </w:p>
        </w:tc>
        <w:tc>
          <w:tcPr>
            <w:tcW w:w="2748"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3</w:t>
            </w:r>
          </w:p>
        </w:tc>
        <w:tc>
          <w:tcPr>
            <w:tcW w:w="2664"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0"/>
                <w:szCs w:val="20"/>
              </w:rPr>
            </w:pPr>
          </w:p>
        </w:tc>
      </w:tr>
      <w:tr w:rsidR="00FD5607" w:rsidTr="00FD5607">
        <w:trPr>
          <w:trHeight w:val="308"/>
        </w:trPr>
        <w:tc>
          <w:tcPr>
            <w:tcW w:w="65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合计</w:t>
            </w: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9268" w:type="dxa"/>
            <w:gridSpan w:val="5"/>
            <w:tcBorders>
              <w:top w:val="nil"/>
              <w:left w:val="nil"/>
              <w:bottom w:val="nil"/>
              <w:right w:val="nil"/>
              <w:tl2br w:val="nil"/>
              <w:tr2bl w:val="nil"/>
            </w:tcBorders>
            <w:noWrap/>
            <w:vAlign w:val="center"/>
          </w:tcPr>
          <w:p w:rsidR="00FD5607" w:rsidRDefault="00FD5607" w:rsidP="007479CE">
            <w:pPr>
              <w:textAlignment w:val="center"/>
              <w:rPr>
                <w:color w:val="000000"/>
                <w:sz w:val="22"/>
              </w:rPr>
            </w:pPr>
            <w:r>
              <w:rPr>
                <w:color w:val="000000"/>
                <w:sz w:val="22"/>
              </w:rPr>
              <w:t>注：本表反映部门本年度国有资本经营预算财政拨款收入、支出及结转和结余情况。</w:t>
            </w:r>
          </w:p>
        </w:tc>
        <w:tc>
          <w:tcPr>
            <w:tcW w:w="2664" w:type="dxa"/>
            <w:tcBorders>
              <w:top w:val="nil"/>
              <w:left w:val="nil"/>
              <w:bottom w:val="nil"/>
              <w:right w:val="nil"/>
              <w:tl2br w:val="nil"/>
              <w:tr2bl w:val="nil"/>
            </w:tcBorders>
            <w:noWrap/>
            <w:vAlign w:val="center"/>
          </w:tcPr>
          <w:p w:rsidR="00FD5607" w:rsidRDefault="00FD5607" w:rsidP="007479CE">
            <w:pPr>
              <w:rPr>
                <w:color w:val="000000"/>
                <w:sz w:val="20"/>
                <w:szCs w:val="20"/>
              </w:rPr>
            </w:pPr>
          </w:p>
        </w:tc>
        <w:tc>
          <w:tcPr>
            <w:tcW w:w="3360" w:type="dxa"/>
            <w:gridSpan w:val="2"/>
            <w:tcBorders>
              <w:top w:val="nil"/>
              <w:left w:val="nil"/>
              <w:bottom w:val="nil"/>
              <w:right w:val="nil"/>
              <w:tl2br w:val="nil"/>
              <w:tr2bl w:val="nil"/>
            </w:tcBorders>
            <w:noWrap/>
            <w:vAlign w:val="center"/>
          </w:tcPr>
          <w:p w:rsidR="00FD5607" w:rsidRDefault="00FD5607" w:rsidP="007479CE">
            <w:pPr>
              <w:rPr>
                <w:color w:val="000000"/>
                <w:sz w:val="20"/>
                <w:szCs w:val="20"/>
              </w:rPr>
            </w:pPr>
          </w:p>
        </w:tc>
      </w:tr>
      <w:tr w:rsidR="00FD5607" w:rsidTr="00FD5607">
        <w:trPr>
          <w:trHeight w:val="308"/>
        </w:trPr>
        <w:tc>
          <w:tcPr>
            <w:tcW w:w="2328" w:type="dxa"/>
            <w:tcBorders>
              <w:top w:val="nil"/>
              <w:left w:val="nil"/>
              <w:bottom w:val="nil"/>
              <w:right w:val="nil"/>
              <w:tl2br w:val="nil"/>
              <w:tr2bl w:val="nil"/>
            </w:tcBorders>
            <w:noWrap/>
            <w:vAlign w:val="center"/>
          </w:tcPr>
          <w:p w:rsidR="00FD5607" w:rsidRDefault="00FD5607" w:rsidP="007479CE">
            <w:pPr>
              <w:rPr>
                <w:color w:val="000000"/>
                <w:sz w:val="22"/>
              </w:rPr>
            </w:pPr>
          </w:p>
        </w:tc>
        <w:tc>
          <w:tcPr>
            <w:tcW w:w="6940" w:type="dxa"/>
            <w:gridSpan w:val="4"/>
            <w:tcBorders>
              <w:top w:val="nil"/>
              <w:left w:val="nil"/>
              <w:bottom w:val="nil"/>
              <w:right w:val="nil"/>
              <w:tl2br w:val="nil"/>
              <w:tr2bl w:val="nil"/>
            </w:tcBorders>
            <w:noWrap/>
            <w:vAlign w:val="center"/>
          </w:tcPr>
          <w:p w:rsidR="00FD5607" w:rsidRDefault="00FD5607" w:rsidP="007479CE">
            <w:pPr>
              <w:rPr>
                <w:color w:val="000000"/>
                <w:sz w:val="22"/>
              </w:rPr>
            </w:pPr>
          </w:p>
        </w:tc>
        <w:tc>
          <w:tcPr>
            <w:tcW w:w="2664" w:type="dxa"/>
            <w:tcBorders>
              <w:top w:val="nil"/>
              <w:left w:val="nil"/>
              <w:bottom w:val="nil"/>
              <w:right w:val="nil"/>
              <w:tl2br w:val="nil"/>
              <w:tr2bl w:val="nil"/>
            </w:tcBorders>
            <w:noWrap/>
            <w:vAlign w:val="center"/>
          </w:tcPr>
          <w:p w:rsidR="00FD5607" w:rsidRDefault="00FD5607" w:rsidP="007479CE">
            <w:pPr>
              <w:rPr>
                <w:color w:val="000000"/>
                <w:sz w:val="20"/>
                <w:szCs w:val="20"/>
              </w:rPr>
            </w:pPr>
          </w:p>
        </w:tc>
        <w:tc>
          <w:tcPr>
            <w:tcW w:w="3360" w:type="dxa"/>
            <w:gridSpan w:val="2"/>
            <w:tcBorders>
              <w:top w:val="nil"/>
              <w:left w:val="nil"/>
              <w:bottom w:val="nil"/>
              <w:right w:val="nil"/>
              <w:tl2br w:val="nil"/>
              <w:tr2bl w:val="nil"/>
            </w:tcBorders>
            <w:noWrap/>
            <w:vAlign w:val="center"/>
          </w:tcPr>
          <w:p w:rsidR="00FD5607" w:rsidRDefault="00FD5607" w:rsidP="007479CE">
            <w:pPr>
              <w:rPr>
                <w:color w:val="000000"/>
                <w:sz w:val="20"/>
                <w:szCs w:val="20"/>
              </w:rPr>
            </w:pPr>
          </w:p>
        </w:tc>
      </w:tr>
      <w:tr w:rsidR="00FD5607" w:rsidTr="00FD5607">
        <w:trPr>
          <w:trHeight w:val="308"/>
        </w:trPr>
        <w:tc>
          <w:tcPr>
            <w:tcW w:w="15292" w:type="dxa"/>
            <w:gridSpan w:val="8"/>
            <w:tcBorders>
              <w:top w:val="nil"/>
              <w:left w:val="nil"/>
              <w:bottom w:val="nil"/>
              <w:right w:val="nil"/>
              <w:tl2br w:val="nil"/>
              <w:tr2bl w:val="nil"/>
            </w:tcBorders>
            <w:noWrap/>
            <w:vAlign w:val="center"/>
          </w:tcPr>
          <w:p w:rsidR="00FD5607" w:rsidRDefault="00FD5607" w:rsidP="007479CE">
            <w:pPr>
              <w:textAlignment w:val="center"/>
              <w:rPr>
                <w:color w:val="000000"/>
                <w:sz w:val="20"/>
                <w:szCs w:val="20"/>
              </w:rPr>
            </w:pPr>
            <w:r>
              <w:rPr>
                <w:color w:val="000000"/>
                <w:sz w:val="20"/>
                <w:szCs w:val="20"/>
              </w:rPr>
              <w:t>说明：我单位没有国有资本经营收入，也没有使用国有资本经营安排的支出，故本表无数据。</w:t>
            </w:r>
          </w:p>
        </w:tc>
      </w:tr>
      <w:tr w:rsidR="007A4732" w:rsidTr="00FD5607">
        <w:trPr>
          <w:gridAfter w:val="1"/>
          <w:wAfter w:w="1632" w:type="dxa"/>
          <w:trHeight w:val="308"/>
        </w:trPr>
        <w:tc>
          <w:tcPr>
            <w:tcW w:w="13660" w:type="dxa"/>
            <w:gridSpan w:val="7"/>
            <w:tcBorders>
              <w:top w:val="nil"/>
              <w:left w:val="nil"/>
              <w:bottom w:val="nil"/>
              <w:right w:val="nil"/>
              <w:tl2br w:val="nil"/>
              <w:tr2bl w:val="nil"/>
            </w:tcBorders>
            <w:noWrap/>
            <w:vAlign w:val="center"/>
          </w:tcPr>
          <w:p w:rsidR="007A4732" w:rsidRPr="00FD5607" w:rsidRDefault="007A4732">
            <w:pPr>
              <w:textAlignment w:val="center"/>
              <w:rPr>
                <w:color w:val="000000"/>
                <w:sz w:val="22"/>
              </w:rPr>
            </w:pP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44" w:type="dxa"/>
        <w:tblInd w:w="96" w:type="dxa"/>
        <w:tblLayout w:type="fixed"/>
        <w:tblLook w:val="04A0" w:firstRow="1" w:lastRow="0" w:firstColumn="1" w:lastColumn="0" w:noHBand="0" w:noVBand="1"/>
      </w:tblPr>
      <w:tblGrid>
        <w:gridCol w:w="988"/>
        <w:gridCol w:w="1176"/>
        <w:gridCol w:w="792"/>
        <w:gridCol w:w="1608"/>
        <w:gridCol w:w="1632"/>
        <w:gridCol w:w="1512"/>
        <w:gridCol w:w="776"/>
        <w:gridCol w:w="1296"/>
        <w:gridCol w:w="832"/>
        <w:gridCol w:w="1704"/>
        <w:gridCol w:w="1608"/>
        <w:gridCol w:w="1320"/>
      </w:tblGrid>
      <w:tr w:rsidR="00B87C8A">
        <w:trPr>
          <w:trHeight w:val="384"/>
        </w:trPr>
        <w:tc>
          <w:tcPr>
            <w:tcW w:w="15244" w:type="dxa"/>
            <w:gridSpan w:val="12"/>
            <w:tcBorders>
              <w:top w:val="nil"/>
              <w:left w:val="nil"/>
              <w:bottom w:val="nil"/>
              <w:right w:val="nil"/>
              <w:tl2br w:val="nil"/>
              <w:tr2bl w:val="nil"/>
            </w:tcBorders>
            <w:noWrap/>
            <w:vAlign w:val="center"/>
          </w:tcPr>
          <w:p w:rsidR="00B87C8A" w:rsidRDefault="00FD5607">
            <w:pPr>
              <w:jc w:val="center"/>
              <w:textAlignment w:val="bottom"/>
              <w:rPr>
                <w:color w:val="000000"/>
                <w:sz w:val="30"/>
                <w:szCs w:val="30"/>
              </w:rPr>
            </w:pPr>
            <w:r>
              <w:rPr>
                <w:rFonts w:hint="eastAsia"/>
                <w:color w:val="000000"/>
                <w:sz w:val="30"/>
                <w:szCs w:val="30"/>
              </w:rPr>
              <w:lastRenderedPageBreak/>
              <w:t>九</w:t>
            </w:r>
            <w:r w:rsidR="002D1C8A">
              <w:rPr>
                <w:color w:val="000000"/>
                <w:sz w:val="30"/>
                <w:szCs w:val="30"/>
              </w:rPr>
              <w:t>、一般公共预算财政拨款“三公"经费支出决算表</w:t>
            </w:r>
          </w:p>
        </w:tc>
      </w:tr>
      <w:tr w:rsidR="00B87C8A">
        <w:trPr>
          <w:trHeight w:val="264"/>
        </w:trPr>
        <w:tc>
          <w:tcPr>
            <w:tcW w:w="988"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17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79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51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77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29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8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704"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jc w:val="right"/>
              <w:rPr>
                <w:rFonts w:ascii="Arial" w:hAnsi="Arial" w:cs="Arial"/>
                <w:color w:val="000000"/>
                <w:sz w:val="20"/>
                <w:szCs w:val="20"/>
              </w:rPr>
            </w:pPr>
          </w:p>
        </w:tc>
        <w:tc>
          <w:tcPr>
            <w:tcW w:w="1320" w:type="dxa"/>
            <w:tcBorders>
              <w:top w:val="nil"/>
              <w:left w:val="nil"/>
              <w:bottom w:val="nil"/>
              <w:right w:val="nil"/>
              <w:tl2br w:val="nil"/>
              <w:tr2bl w:val="nil"/>
            </w:tcBorders>
            <w:noWrap/>
            <w:vAlign w:val="center"/>
          </w:tcPr>
          <w:p w:rsidR="00B87C8A" w:rsidRDefault="002D1C8A">
            <w:pPr>
              <w:jc w:val="right"/>
              <w:textAlignment w:val="bottom"/>
              <w:rPr>
                <w:color w:val="000000"/>
                <w:sz w:val="20"/>
                <w:szCs w:val="20"/>
              </w:rPr>
            </w:pPr>
            <w:r>
              <w:rPr>
                <w:color w:val="000000"/>
                <w:sz w:val="20"/>
                <w:szCs w:val="20"/>
              </w:rPr>
              <w:t>公开07表</w:t>
            </w:r>
          </w:p>
        </w:tc>
      </w:tr>
      <w:tr w:rsidR="00B87C8A">
        <w:trPr>
          <w:trHeight w:val="264"/>
        </w:trPr>
        <w:tc>
          <w:tcPr>
            <w:tcW w:w="2164" w:type="dxa"/>
            <w:gridSpan w:val="2"/>
            <w:tcBorders>
              <w:top w:val="nil"/>
              <w:left w:val="nil"/>
              <w:bottom w:val="nil"/>
              <w:right w:val="nil"/>
              <w:tl2br w:val="nil"/>
              <w:tr2bl w:val="nil"/>
            </w:tcBorders>
            <w:noWrap/>
            <w:vAlign w:val="center"/>
          </w:tcPr>
          <w:p w:rsidR="00B87C8A" w:rsidRDefault="002D1C8A">
            <w:pPr>
              <w:rPr>
                <w:rFonts w:ascii="Arial" w:hAnsi="Arial" w:cs="Arial"/>
                <w:color w:val="000000"/>
                <w:sz w:val="20"/>
                <w:szCs w:val="20"/>
              </w:rPr>
            </w:pPr>
            <w:r>
              <w:rPr>
                <w:color w:val="000000"/>
                <w:sz w:val="20"/>
                <w:szCs w:val="20"/>
              </w:rPr>
              <w:t>部门：吉首大学</w:t>
            </w:r>
          </w:p>
        </w:tc>
        <w:tc>
          <w:tcPr>
            <w:tcW w:w="79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51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77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29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8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704"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2928" w:type="dxa"/>
            <w:gridSpan w:val="2"/>
            <w:tcBorders>
              <w:top w:val="nil"/>
              <w:left w:val="nil"/>
              <w:bottom w:val="nil"/>
              <w:right w:val="nil"/>
              <w:tl2br w:val="nil"/>
              <w:tr2bl w:val="nil"/>
            </w:tcBorders>
            <w:noWrap/>
            <w:vAlign w:val="center"/>
          </w:tcPr>
          <w:p w:rsidR="00B87C8A" w:rsidRDefault="002D1C8A">
            <w:pPr>
              <w:jc w:val="right"/>
              <w:textAlignment w:val="bottom"/>
              <w:rPr>
                <w:color w:val="000000"/>
                <w:sz w:val="20"/>
                <w:szCs w:val="20"/>
              </w:rPr>
            </w:pPr>
            <w:r>
              <w:rPr>
                <w:color w:val="000000"/>
                <w:sz w:val="20"/>
                <w:szCs w:val="20"/>
              </w:rPr>
              <w:t>金额单位：万元</w:t>
            </w:r>
          </w:p>
        </w:tc>
      </w:tr>
      <w:tr w:rsidR="00B87C8A">
        <w:trPr>
          <w:trHeight w:val="447"/>
        </w:trPr>
        <w:tc>
          <w:tcPr>
            <w:tcW w:w="7708" w:type="dxa"/>
            <w:gridSpan w:val="6"/>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预算数</w:t>
            </w:r>
          </w:p>
        </w:tc>
        <w:tc>
          <w:tcPr>
            <w:tcW w:w="7536"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决算数</w:t>
            </w:r>
          </w:p>
        </w:tc>
      </w:tr>
      <w:tr w:rsidR="00B87C8A">
        <w:trPr>
          <w:trHeight w:val="555"/>
        </w:trPr>
        <w:tc>
          <w:tcPr>
            <w:tcW w:w="988"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合计</w:t>
            </w:r>
          </w:p>
        </w:tc>
        <w:tc>
          <w:tcPr>
            <w:tcW w:w="11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因公出国（境）费</w:t>
            </w:r>
          </w:p>
        </w:tc>
        <w:tc>
          <w:tcPr>
            <w:tcW w:w="4032"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公务用车购置及运行</w:t>
            </w:r>
            <w:r w:rsidR="000F51A6">
              <w:rPr>
                <w:rFonts w:hint="eastAsia"/>
                <w:color w:val="000000"/>
                <w:sz w:val="22"/>
              </w:rPr>
              <w:t>维护</w:t>
            </w:r>
            <w:r>
              <w:rPr>
                <w:color w:val="000000"/>
                <w:sz w:val="22"/>
              </w:rPr>
              <w:t>费</w:t>
            </w:r>
          </w:p>
        </w:tc>
        <w:tc>
          <w:tcPr>
            <w:tcW w:w="151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公务接待费</w:t>
            </w:r>
          </w:p>
        </w:tc>
        <w:tc>
          <w:tcPr>
            <w:tcW w:w="7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合计</w:t>
            </w:r>
          </w:p>
        </w:tc>
        <w:tc>
          <w:tcPr>
            <w:tcW w:w="129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因公出国（境）费</w:t>
            </w:r>
          </w:p>
        </w:tc>
        <w:tc>
          <w:tcPr>
            <w:tcW w:w="4144"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公务用车购置及运行</w:t>
            </w:r>
            <w:r w:rsidR="000F51A6">
              <w:rPr>
                <w:rFonts w:hint="eastAsia"/>
                <w:color w:val="000000"/>
                <w:sz w:val="22"/>
              </w:rPr>
              <w:t>维护</w:t>
            </w:r>
            <w:r>
              <w:rPr>
                <w:color w:val="000000"/>
                <w:sz w:val="22"/>
              </w:rPr>
              <w:t>费</w:t>
            </w:r>
          </w:p>
        </w:tc>
        <w:tc>
          <w:tcPr>
            <w:tcW w:w="13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公务接待费</w:t>
            </w:r>
          </w:p>
        </w:tc>
      </w:tr>
      <w:tr w:rsidR="00B87C8A">
        <w:trPr>
          <w:trHeight w:val="630"/>
        </w:trPr>
        <w:tc>
          <w:tcPr>
            <w:tcW w:w="98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1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79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小计</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公务用车购置费</w:t>
            </w:r>
          </w:p>
        </w:tc>
        <w:tc>
          <w:tcPr>
            <w:tcW w:w="16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公务用车运行</w:t>
            </w:r>
            <w:r w:rsidR="000F51A6">
              <w:rPr>
                <w:rFonts w:hint="eastAsia"/>
                <w:color w:val="000000"/>
                <w:sz w:val="22"/>
              </w:rPr>
              <w:t>维护</w:t>
            </w:r>
            <w:r>
              <w:rPr>
                <w:color w:val="000000"/>
                <w:sz w:val="22"/>
              </w:rPr>
              <w:t>费</w:t>
            </w:r>
          </w:p>
        </w:tc>
        <w:tc>
          <w:tcPr>
            <w:tcW w:w="151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7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8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小计</w:t>
            </w:r>
          </w:p>
        </w:tc>
        <w:tc>
          <w:tcPr>
            <w:tcW w:w="170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公务用车购置费</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公务用车运行</w:t>
            </w:r>
            <w:r w:rsidR="000F51A6">
              <w:rPr>
                <w:rFonts w:hint="eastAsia"/>
                <w:color w:val="000000"/>
                <w:sz w:val="22"/>
              </w:rPr>
              <w:t>维护</w:t>
            </w:r>
            <w:r>
              <w:rPr>
                <w:color w:val="000000"/>
                <w:sz w:val="22"/>
              </w:rPr>
              <w:t>费</w:t>
            </w:r>
          </w:p>
        </w:tc>
        <w:tc>
          <w:tcPr>
            <w:tcW w:w="13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r>
      <w:tr w:rsidR="00B87C8A">
        <w:trPr>
          <w:trHeight w:val="308"/>
        </w:trPr>
        <w:tc>
          <w:tcPr>
            <w:tcW w:w="988"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2</w:t>
            </w:r>
          </w:p>
        </w:tc>
        <w:tc>
          <w:tcPr>
            <w:tcW w:w="79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3</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4</w:t>
            </w:r>
          </w:p>
        </w:tc>
        <w:tc>
          <w:tcPr>
            <w:tcW w:w="16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5</w:t>
            </w:r>
          </w:p>
        </w:tc>
        <w:tc>
          <w:tcPr>
            <w:tcW w:w="151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6</w:t>
            </w:r>
          </w:p>
        </w:tc>
        <w:tc>
          <w:tcPr>
            <w:tcW w:w="7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7</w:t>
            </w:r>
          </w:p>
        </w:tc>
        <w:tc>
          <w:tcPr>
            <w:tcW w:w="129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8</w:t>
            </w:r>
          </w:p>
        </w:tc>
        <w:tc>
          <w:tcPr>
            <w:tcW w:w="8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9</w:t>
            </w:r>
          </w:p>
        </w:tc>
        <w:tc>
          <w:tcPr>
            <w:tcW w:w="170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10</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11</w:t>
            </w: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12</w:t>
            </w:r>
          </w:p>
        </w:tc>
      </w:tr>
      <w:tr w:rsidR="004A425C">
        <w:trPr>
          <w:trHeight w:val="848"/>
        </w:trPr>
        <w:tc>
          <w:tcPr>
            <w:tcW w:w="988" w:type="dxa"/>
            <w:tcBorders>
              <w:top w:val="nil"/>
              <w:left w:val="single" w:sz="4" w:space="0" w:color="000000"/>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58.00</w:t>
            </w:r>
          </w:p>
        </w:tc>
        <w:tc>
          <w:tcPr>
            <w:tcW w:w="1176"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p>
        </w:tc>
        <w:tc>
          <w:tcPr>
            <w:tcW w:w="792"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38.00</w:t>
            </w:r>
          </w:p>
        </w:tc>
        <w:tc>
          <w:tcPr>
            <w:tcW w:w="1608"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p>
        </w:tc>
        <w:tc>
          <w:tcPr>
            <w:tcW w:w="1632"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38.00</w:t>
            </w:r>
          </w:p>
        </w:tc>
        <w:tc>
          <w:tcPr>
            <w:tcW w:w="1512"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20.00</w:t>
            </w:r>
          </w:p>
        </w:tc>
        <w:tc>
          <w:tcPr>
            <w:tcW w:w="776"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58.00</w:t>
            </w:r>
          </w:p>
        </w:tc>
        <w:tc>
          <w:tcPr>
            <w:tcW w:w="1296"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p>
        </w:tc>
        <w:tc>
          <w:tcPr>
            <w:tcW w:w="832"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38.00</w:t>
            </w:r>
          </w:p>
        </w:tc>
        <w:tc>
          <w:tcPr>
            <w:tcW w:w="1704"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p>
        </w:tc>
        <w:tc>
          <w:tcPr>
            <w:tcW w:w="1608"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38.00</w:t>
            </w:r>
          </w:p>
        </w:tc>
        <w:tc>
          <w:tcPr>
            <w:tcW w:w="1320" w:type="dxa"/>
            <w:tcBorders>
              <w:top w:val="nil"/>
              <w:left w:val="nil"/>
              <w:bottom w:val="single" w:sz="4" w:space="0" w:color="000000"/>
              <w:right w:val="single" w:sz="4" w:space="0" w:color="000000"/>
              <w:tl2br w:val="nil"/>
              <w:tr2bl w:val="nil"/>
            </w:tcBorders>
            <w:noWrap/>
            <w:vAlign w:val="center"/>
          </w:tcPr>
          <w:p w:rsidR="004A425C" w:rsidRDefault="004A425C">
            <w:pPr>
              <w:jc w:val="right"/>
              <w:rPr>
                <w:color w:val="000000"/>
                <w:sz w:val="22"/>
                <w:szCs w:val="22"/>
              </w:rPr>
            </w:pPr>
            <w:r>
              <w:rPr>
                <w:rFonts w:hint="eastAsia"/>
                <w:color w:val="000000"/>
                <w:sz w:val="22"/>
                <w:szCs w:val="22"/>
              </w:rPr>
              <w:t>20.00</w:t>
            </w:r>
          </w:p>
        </w:tc>
      </w:tr>
      <w:tr w:rsidR="00B87C8A">
        <w:trPr>
          <w:trHeight w:val="585"/>
        </w:trPr>
        <w:tc>
          <w:tcPr>
            <w:tcW w:w="15244" w:type="dxa"/>
            <w:gridSpan w:val="12"/>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bookmarkStart w:id="0" w:name="_GoBack"/>
      <w:bookmarkEnd w:id="0"/>
    </w:p>
    <w:p w:rsidR="00B87C8A" w:rsidRDefault="00B87C8A">
      <w:pPr>
        <w:jc w:val="center"/>
        <w:rPr>
          <w:rFonts w:ascii="黑体" w:eastAsia="黑体" w:hAnsi="Times New Roman" w:cs="黑体"/>
          <w:sz w:val="84"/>
          <w:szCs w:val="84"/>
        </w:rPr>
      </w:pPr>
    </w:p>
    <w:p w:rsidR="00B87C8A" w:rsidRDefault="00B87C8A">
      <w:pPr>
        <w:jc w:val="center"/>
        <w:rPr>
          <w:rFonts w:ascii="黑体" w:eastAsia="黑体" w:hAnsi="Times New Roman" w:cs="黑体"/>
          <w:sz w:val="84"/>
          <w:szCs w:val="84"/>
        </w:rPr>
      </w:pPr>
    </w:p>
    <w:p w:rsidR="00B87C8A" w:rsidRDefault="00B87C8A">
      <w:pPr>
        <w:jc w:val="center"/>
        <w:rPr>
          <w:rFonts w:ascii="黑体" w:eastAsia="黑体" w:hAnsi="Times New Roman" w:cs="黑体"/>
          <w:sz w:val="56"/>
          <w:szCs w:val="56"/>
        </w:rPr>
      </w:pPr>
    </w:p>
    <w:p w:rsidR="00B87C8A" w:rsidRDefault="00B87C8A">
      <w:pPr>
        <w:jc w:val="center"/>
        <w:rPr>
          <w:rFonts w:ascii="黑体" w:eastAsia="黑体" w:hAnsi="Times New Roman" w:cs="黑体"/>
          <w:sz w:val="84"/>
          <w:szCs w:val="84"/>
        </w:rPr>
      </w:pPr>
    </w:p>
    <w:p w:rsidR="00B87C8A" w:rsidRDefault="002D1C8A">
      <w:pPr>
        <w:jc w:val="center"/>
        <w:rPr>
          <w:rFonts w:ascii="黑体" w:eastAsia="黑体" w:hAnsi="Times New Roman" w:cs="黑体"/>
          <w:sz w:val="84"/>
          <w:szCs w:val="84"/>
        </w:rPr>
      </w:pPr>
      <w:r>
        <w:rPr>
          <w:rFonts w:ascii="黑体" w:eastAsia="黑体" w:hAnsi="Times New Roman" w:cs="黑体"/>
          <w:sz w:val="84"/>
          <w:szCs w:val="84"/>
        </w:rPr>
        <w:t>第三部分</w:t>
      </w:r>
    </w:p>
    <w:p w:rsidR="00B87C8A" w:rsidRDefault="002D1C8A" w:rsidP="00EC77AB">
      <w:pPr>
        <w:spacing w:beforeLines="100" w:before="240"/>
        <w:jc w:val="center"/>
        <w:rPr>
          <w:sz w:val="84"/>
          <w:szCs w:val="84"/>
        </w:rPr>
      </w:pPr>
      <w:r>
        <w:rPr>
          <w:rFonts w:ascii="黑体" w:eastAsia="黑体" w:hAnsi="Times New Roman" w:cs="黑体"/>
          <w:sz w:val="84"/>
          <w:szCs w:val="84"/>
          <w:lang w:val="zh-CN"/>
        </w:rPr>
        <w:t>吉首大学</w:t>
      </w:r>
      <w:r w:rsidR="00CA5E48">
        <w:rPr>
          <w:rFonts w:ascii="黑体" w:eastAsia="黑体" w:hAnsi="Times New Roman" w:cs="黑体"/>
          <w:sz w:val="84"/>
          <w:szCs w:val="84"/>
        </w:rPr>
        <w:t>202</w:t>
      </w:r>
      <w:r w:rsidR="00A10504">
        <w:rPr>
          <w:rFonts w:ascii="黑体" w:eastAsia="黑体" w:hAnsi="Times New Roman" w:cs="黑体" w:hint="eastAsia"/>
          <w:sz w:val="84"/>
          <w:szCs w:val="84"/>
        </w:rPr>
        <w:t>3</w:t>
      </w:r>
      <w:r>
        <w:rPr>
          <w:rFonts w:ascii="黑体" w:eastAsia="黑体" w:hAnsi="Times New Roman" w:cs="黑体"/>
          <w:sz w:val="84"/>
          <w:szCs w:val="84"/>
        </w:rPr>
        <w:t>年度部门决算情况说明</w:t>
      </w:r>
    </w:p>
    <w:p w:rsidR="00B87C8A" w:rsidRDefault="00B87C8A">
      <w:pPr>
        <w:rPr>
          <w:rFonts w:ascii="黑体" w:eastAsia="黑体" w:hAnsi="Times New Roman" w:cs="黑体"/>
          <w:sz w:val="32"/>
          <w:szCs w:val="32"/>
          <w:lang w:val="zh-CN"/>
        </w:rPr>
        <w:sectPr w:rsidR="00B87C8A">
          <w:pgSz w:w="12240" w:h="15840"/>
          <w:pgMar w:top="1440" w:right="1800" w:bottom="1440" w:left="1800" w:header="720" w:footer="720" w:gutter="0"/>
          <w:cols w:space="720"/>
        </w:sectPr>
      </w:pPr>
    </w:p>
    <w:p w:rsidR="00B87C8A" w:rsidRDefault="002D1C8A">
      <w:pPr>
        <w:spacing w:line="360" w:lineRule="auto"/>
        <w:ind w:firstLineChars="200" w:firstLine="640"/>
        <w:rPr>
          <w:sz w:val="32"/>
          <w:szCs w:val="32"/>
        </w:rPr>
      </w:pPr>
      <w:r>
        <w:rPr>
          <w:rFonts w:ascii="黑体" w:eastAsia="黑体" w:hAnsi="Times New Roman" w:cs="黑体"/>
          <w:sz w:val="32"/>
          <w:szCs w:val="32"/>
          <w:lang w:val="zh-CN"/>
        </w:rPr>
        <w:lastRenderedPageBreak/>
        <w:t>一、收入支出决算总体情况说明</w:t>
      </w:r>
    </w:p>
    <w:p w:rsidR="000F7DB4" w:rsidRDefault="00CA5E48" w:rsidP="000F7DB4">
      <w:pPr>
        <w:spacing w:line="360" w:lineRule="auto"/>
        <w:ind w:firstLineChars="200" w:firstLine="560"/>
        <w:rPr>
          <w:sz w:val="28"/>
          <w:szCs w:val="28"/>
          <w:lang w:val="zh-CN"/>
        </w:rPr>
      </w:pPr>
      <w:r>
        <w:rPr>
          <w:sz w:val="28"/>
          <w:szCs w:val="28"/>
          <w:lang w:val="zh-CN"/>
        </w:rPr>
        <w:t>202</w:t>
      </w:r>
      <w:r w:rsidR="00A30F07">
        <w:rPr>
          <w:rFonts w:hint="eastAsia"/>
          <w:sz w:val="28"/>
          <w:szCs w:val="28"/>
          <w:lang w:val="zh-CN"/>
        </w:rPr>
        <w:t>3</w:t>
      </w:r>
      <w:r w:rsidR="002D1C8A">
        <w:rPr>
          <w:sz w:val="28"/>
          <w:szCs w:val="28"/>
          <w:lang w:val="zh-CN"/>
        </w:rPr>
        <w:t>年度收、支（含结转和结余）总计均为</w:t>
      </w:r>
      <w:r w:rsidR="00A30F07" w:rsidRPr="00A30F07">
        <w:rPr>
          <w:sz w:val="28"/>
          <w:szCs w:val="28"/>
          <w:lang w:val="zh-CN"/>
        </w:rPr>
        <w:t>86,480.96</w:t>
      </w:r>
      <w:r w:rsidR="002D1C8A">
        <w:rPr>
          <w:sz w:val="28"/>
          <w:szCs w:val="28"/>
          <w:lang w:val="zh-CN"/>
        </w:rPr>
        <w:t>万元，与</w:t>
      </w:r>
      <w:r w:rsidR="00657CA8">
        <w:rPr>
          <w:sz w:val="28"/>
          <w:szCs w:val="28"/>
          <w:lang w:val="zh-CN"/>
        </w:rPr>
        <w:t>202</w:t>
      </w:r>
      <w:r w:rsidR="00A30F07">
        <w:rPr>
          <w:rFonts w:hint="eastAsia"/>
          <w:sz w:val="28"/>
          <w:szCs w:val="28"/>
          <w:lang w:val="zh-CN"/>
        </w:rPr>
        <w:t>2</w:t>
      </w:r>
      <w:r w:rsidR="002D1C8A">
        <w:rPr>
          <w:sz w:val="28"/>
          <w:szCs w:val="28"/>
          <w:lang w:val="zh-CN"/>
        </w:rPr>
        <w:t>年相比，收、支总计各增加</w:t>
      </w:r>
      <w:r w:rsidR="00A30F07" w:rsidRPr="00A30F07">
        <w:rPr>
          <w:sz w:val="28"/>
          <w:szCs w:val="28"/>
          <w:lang w:val="zh-CN"/>
        </w:rPr>
        <w:t>2,806.22</w:t>
      </w:r>
      <w:r w:rsidR="002D1C8A">
        <w:rPr>
          <w:sz w:val="28"/>
          <w:szCs w:val="28"/>
          <w:lang w:val="zh-CN"/>
        </w:rPr>
        <w:t>万元，增长</w:t>
      </w:r>
      <w:r w:rsidR="00A30F07" w:rsidRPr="00A30F07">
        <w:rPr>
          <w:sz w:val="28"/>
          <w:szCs w:val="28"/>
          <w:lang w:val="zh-CN"/>
        </w:rPr>
        <w:t>3.35%</w:t>
      </w:r>
      <w:r w:rsidR="003F0F38">
        <w:rPr>
          <w:sz w:val="28"/>
          <w:szCs w:val="28"/>
          <w:lang w:val="zh-CN"/>
        </w:rPr>
        <w:t>。</w:t>
      </w:r>
      <w:r w:rsidR="000F7DB4">
        <w:rPr>
          <w:rFonts w:hint="eastAsia"/>
          <w:sz w:val="28"/>
          <w:szCs w:val="28"/>
          <w:lang w:val="zh-CN"/>
        </w:rPr>
        <w:t>主要是因为</w:t>
      </w:r>
      <w:r w:rsidR="000F7DB4" w:rsidRPr="000F7DB4">
        <w:rPr>
          <w:rFonts w:hint="eastAsia"/>
          <w:sz w:val="28"/>
          <w:szCs w:val="28"/>
          <w:lang w:val="zh-CN"/>
        </w:rPr>
        <w:t>一般公共预算财政拨款收入</w:t>
      </w:r>
      <w:r w:rsidR="000F7DB4">
        <w:rPr>
          <w:rFonts w:hint="eastAsia"/>
          <w:sz w:val="28"/>
          <w:szCs w:val="28"/>
          <w:lang w:val="zh-CN"/>
        </w:rPr>
        <w:t>增加</w:t>
      </w:r>
      <w:r w:rsidR="000F7DB4" w:rsidRPr="000F7DB4">
        <w:rPr>
          <w:sz w:val="28"/>
          <w:szCs w:val="28"/>
          <w:lang w:val="zh-CN"/>
        </w:rPr>
        <w:t>11,539.10</w:t>
      </w:r>
      <w:r w:rsidR="000F7DB4">
        <w:rPr>
          <w:rFonts w:hint="eastAsia"/>
          <w:sz w:val="28"/>
          <w:szCs w:val="28"/>
          <w:lang w:val="zh-CN"/>
        </w:rPr>
        <w:t>万元、事业收入增加</w:t>
      </w:r>
      <w:r w:rsidR="000F7DB4" w:rsidRPr="000F7DB4">
        <w:rPr>
          <w:sz w:val="28"/>
          <w:szCs w:val="28"/>
          <w:lang w:val="zh-CN"/>
        </w:rPr>
        <w:t>1,922.97</w:t>
      </w:r>
      <w:r w:rsidR="000F7DB4">
        <w:rPr>
          <w:rFonts w:hint="eastAsia"/>
          <w:sz w:val="28"/>
          <w:szCs w:val="28"/>
          <w:lang w:val="zh-CN"/>
        </w:rPr>
        <w:t>万元、其他收入增加</w:t>
      </w:r>
      <w:r w:rsidR="000F7DB4" w:rsidRPr="000F7DB4">
        <w:rPr>
          <w:sz w:val="28"/>
          <w:szCs w:val="28"/>
          <w:lang w:val="zh-CN"/>
        </w:rPr>
        <w:t>355.91</w:t>
      </w:r>
      <w:r w:rsidR="000F7DB4">
        <w:rPr>
          <w:rFonts w:hint="eastAsia"/>
          <w:sz w:val="28"/>
          <w:szCs w:val="28"/>
          <w:lang w:val="zh-CN"/>
        </w:rPr>
        <w:t>万元、年初结转和结余减少</w:t>
      </w:r>
      <w:r w:rsidR="000F7DB4" w:rsidRPr="000F7DB4">
        <w:rPr>
          <w:sz w:val="28"/>
          <w:szCs w:val="28"/>
          <w:lang w:val="zh-CN"/>
        </w:rPr>
        <w:t>11,011.75</w:t>
      </w:r>
      <w:r w:rsidR="000F7DB4">
        <w:rPr>
          <w:rFonts w:hint="eastAsia"/>
          <w:sz w:val="28"/>
          <w:szCs w:val="28"/>
          <w:lang w:val="zh-CN"/>
        </w:rPr>
        <w:t>万元。</w:t>
      </w:r>
    </w:p>
    <w:p w:rsidR="00B87C8A" w:rsidRDefault="002D1C8A">
      <w:pPr>
        <w:spacing w:line="360" w:lineRule="auto"/>
        <w:ind w:firstLineChars="200" w:firstLine="640"/>
        <w:rPr>
          <w:sz w:val="32"/>
          <w:szCs w:val="32"/>
        </w:rPr>
      </w:pPr>
      <w:r>
        <w:rPr>
          <w:rFonts w:ascii="黑体" w:eastAsia="黑体" w:hAnsi="Times New Roman" w:cs="黑体"/>
          <w:sz w:val="32"/>
          <w:szCs w:val="32"/>
        </w:rPr>
        <w:t>二、收入决算情况说明</w:t>
      </w:r>
    </w:p>
    <w:p w:rsidR="002D625C" w:rsidRDefault="002D625C" w:rsidP="002D625C">
      <w:pPr>
        <w:spacing w:line="360" w:lineRule="auto"/>
        <w:ind w:firstLineChars="200" w:firstLine="560"/>
        <w:rPr>
          <w:sz w:val="28"/>
          <w:szCs w:val="28"/>
          <w:lang w:val="zh-CN"/>
        </w:rPr>
      </w:pPr>
      <w:r w:rsidRPr="002D625C">
        <w:rPr>
          <w:sz w:val="28"/>
          <w:szCs w:val="28"/>
          <w:lang w:val="zh-CN"/>
        </w:rPr>
        <w:t>202</w:t>
      </w:r>
      <w:r w:rsidR="000F7DB4">
        <w:rPr>
          <w:rFonts w:hint="eastAsia"/>
          <w:sz w:val="28"/>
          <w:szCs w:val="28"/>
          <w:lang w:val="zh-CN"/>
        </w:rPr>
        <w:t>3</w:t>
      </w:r>
      <w:r w:rsidRPr="002D625C">
        <w:rPr>
          <w:sz w:val="28"/>
          <w:szCs w:val="28"/>
          <w:lang w:val="zh-CN"/>
        </w:rPr>
        <w:t>年度收入合计</w:t>
      </w:r>
      <w:r w:rsidR="000F7DB4" w:rsidRPr="000F7DB4">
        <w:rPr>
          <w:sz w:val="28"/>
          <w:szCs w:val="28"/>
          <w:lang w:val="zh-CN"/>
        </w:rPr>
        <w:t>79,837.56</w:t>
      </w:r>
      <w:r w:rsidRPr="002D625C">
        <w:rPr>
          <w:sz w:val="28"/>
          <w:szCs w:val="28"/>
          <w:lang w:val="zh-CN"/>
        </w:rPr>
        <w:t>万元，其中：财政拨款收入41326.95万元，占</w:t>
      </w:r>
      <w:r w:rsidR="000F7DB4" w:rsidRPr="000F7DB4">
        <w:rPr>
          <w:sz w:val="28"/>
          <w:szCs w:val="28"/>
          <w:lang w:val="zh-CN"/>
        </w:rPr>
        <w:t>66.22%</w:t>
      </w:r>
      <w:r w:rsidRPr="002D625C">
        <w:rPr>
          <w:sz w:val="28"/>
          <w:szCs w:val="28"/>
          <w:lang w:val="zh-CN"/>
        </w:rPr>
        <w:t>；事业收入</w:t>
      </w:r>
      <w:r w:rsidR="000F7DB4" w:rsidRPr="000F7DB4">
        <w:rPr>
          <w:sz w:val="28"/>
          <w:szCs w:val="28"/>
          <w:lang w:val="zh-CN"/>
        </w:rPr>
        <w:t>23,949.93</w:t>
      </w:r>
      <w:r w:rsidRPr="002D625C">
        <w:rPr>
          <w:sz w:val="28"/>
          <w:szCs w:val="28"/>
          <w:lang w:val="zh-CN"/>
        </w:rPr>
        <w:t>万元，占</w:t>
      </w:r>
      <w:r w:rsidR="000F7DB4" w:rsidRPr="000F7DB4">
        <w:rPr>
          <w:sz w:val="28"/>
          <w:szCs w:val="28"/>
          <w:lang w:val="zh-CN"/>
        </w:rPr>
        <w:t>30.00%</w:t>
      </w:r>
      <w:r w:rsidRPr="002D625C">
        <w:rPr>
          <w:sz w:val="28"/>
          <w:szCs w:val="28"/>
          <w:lang w:val="zh-CN"/>
        </w:rPr>
        <w:t>；其他收入</w:t>
      </w:r>
      <w:r w:rsidR="000F7DB4" w:rsidRPr="000F7DB4">
        <w:rPr>
          <w:sz w:val="28"/>
          <w:szCs w:val="28"/>
          <w:lang w:val="zh-CN"/>
        </w:rPr>
        <w:t>3,021.59</w:t>
      </w:r>
      <w:r w:rsidRPr="002D625C">
        <w:rPr>
          <w:sz w:val="28"/>
          <w:szCs w:val="28"/>
          <w:lang w:val="zh-CN"/>
        </w:rPr>
        <w:t>万元，占</w:t>
      </w:r>
      <w:r w:rsidR="000F7DB4" w:rsidRPr="000F7DB4">
        <w:rPr>
          <w:sz w:val="28"/>
          <w:szCs w:val="28"/>
          <w:lang w:val="zh-CN"/>
        </w:rPr>
        <w:t>3.78%</w:t>
      </w:r>
      <w:r w:rsidRPr="002D625C">
        <w:rPr>
          <w:sz w:val="28"/>
          <w:szCs w:val="28"/>
          <w:lang w:val="zh-CN"/>
        </w:rPr>
        <w:t>。</w:t>
      </w:r>
    </w:p>
    <w:p w:rsidR="00B87C8A" w:rsidRPr="00CA5E48" w:rsidRDefault="002D1C8A" w:rsidP="002D625C">
      <w:pPr>
        <w:spacing w:line="360" w:lineRule="auto"/>
        <w:ind w:firstLineChars="200" w:firstLine="640"/>
        <w:rPr>
          <w:rFonts w:ascii="黑体" w:eastAsia="黑体" w:hAnsi="Times New Roman" w:cs="黑体"/>
          <w:sz w:val="32"/>
          <w:szCs w:val="32"/>
        </w:rPr>
      </w:pPr>
      <w:r w:rsidRPr="00CA5E48">
        <w:rPr>
          <w:rFonts w:ascii="黑体" w:eastAsia="黑体" w:hAnsi="Times New Roman" w:cs="黑体"/>
          <w:sz w:val="32"/>
          <w:szCs w:val="32"/>
        </w:rPr>
        <w:t>三、支出决算情况说明</w:t>
      </w:r>
    </w:p>
    <w:p w:rsidR="00B87C8A" w:rsidRPr="00CA5E48" w:rsidRDefault="00CA5E48" w:rsidP="002D1C8A">
      <w:pPr>
        <w:spacing w:line="360" w:lineRule="auto"/>
        <w:ind w:firstLineChars="200" w:firstLine="560"/>
        <w:rPr>
          <w:rFonts w:hAnsi="Times New Roman"/>
          <w:sz w:val="28"/>
          <w:szCs w:val="28"/>
        </w:rPr>
      </w:pPr>
      <w:r>
        <w:rPr>
          <w:rFonts w:hAnsi="Times New Roman"/>
          <w:sz w:val="28"/>
          <w:szCs w:val="28"/>
        </w:rPr>
        <w:t>202</w:t>
      </w:r>
      <w:r w:rsidR="00B47AF5">
        <w:rPr>
          <w:rFonts w:hAnsi="Times New Roman" w:hint="eastAsia"/>
          <w:sz w:val="28"/>
          <w:szCs w:val="28"/>
        </w:rPr>
        <w:t>3</w:t>
      </w:r>
      <w:r w:rsidR="002D1C8A" w:rsidRPr="002D1C8A">
        <w:rPr>
          <w:rFonts w:hAnsi="Times New Roman"/>
          <w:sz w:val="28"/>
          <w:szCs w:val="28"/>
        </w:rPr>
        <w:t>年度支出合计</w:t>
      </w:r>
      <w:r w:rsidR="000F7DB4" w:rsidRPr="000F7DB4">
        <w:rPr>
          <w:rFonts w:hAnsi="Times New Roman"/>
          <w:sz w:val="28"/>
          <w:szCs w:val="28"/>
        </w:rPr>
        <w:t>73,313.18</w:t>
      </w:r>
      <w:r w:rsidR="002D1C8A" w:rsidRPr="002D1C8A">
        <w:rPr>
          <w:rFonts w:hAnsi="Times New Roman"/>
          <w:sz w:val="28"/>
          <w:szCs w:val="28"/>
        </w:rPr>
        <w:t>万元，其中：基本支出</w:t>
      </w:r>
      <w:r w:rsidR="000F7DB4" w:rsidRPr="000F7DB4">
        <w:rPr>
          <w:rFonts w:hAnsi="Times New Roman"/>
          <w:sz w:val="28"/>
          <w:szCs w:val="28"/>
        </w:rPr>
        <w:t>41,900.29</w:t>
      </w:r>
      <w:r w:rsidR="002D1C8A" w:rsidRPr="00CA5E48">
        <w:rPr>
          <w:rFonts w:hAnsi="Times New Roman"/>
          <w:sz w:val="28"/>
          <w:szCs w:val="28"/>
        </w:rPr>
        <w:t>万元，</w:t>
      </w:r>
      <w:r w:rsidR="002D1C8A" w:rsidRPr="002D1C8A">
        <w:rPr>
          <w:rFonts w:hAnsi="Times New Roman"/>
          <w:sz w:val="28"/>
          <w:szCs w:val="28"/>
        </w:rPr>
        <w:t>占</w:t>
      </w:r>
      <w:r w:rsidR="000F7DB4" w:rsidRPr="000F7DB4">
        <w:rPr>
          <w:rFonts w:hAnsi="Times New Roman"/>
          <w:sz w:val="28"/>
          <w:szCs w:val="28"/>
        </w:rPr>
        <w:t>57.15%</w:t>
      </w:r>
      <w:r w:rsidR="002D1C8A" w:rsidRPr="002D1C8A">
        <w:rPr>
          <w:rFonts w:hAnsi="Times New Roman"/>
          <w:sz w:val="28"/>
          <w:szCs w:val="28"/>
        </w:rPr>
        <w:t>；项目支出</w:t>
      </w:r>
      <w:r w:rsidR="000F7DB4" w:rsidRPr="000F7DB4">
        <w:rPr>
          <w:rFonts w:hAnsi="Times New Roman"/>
          <w:sz w:val="28"/>
          <w:szCs w:val="28"/>
        </w:rPr>
        <w:t>31,412.89</w:t>
      </w:r>
      <w:r w:rsidR="002D1C8A" w:rsidRPr="002D1C8A">
        <w:rPr>
          <w:rFonts w:hAnsi="Times New Roman"/>
          <w:sz w:val="28"/>
          <w:szCs w:val="28"/>
        </w:rPr>
        <w:t>万元，占</w:t>
      </w:r>
      <w:r w:rsidR="000F7DB4" w:rsidRPr="000F7DB4">
        <w:rPr>
          <w:rFonts w:hAnsi="Times New Roman"/>
          <w:sz w:val="28"/>
          <w:szCs w:val="28"/>
        </w:rPr>
        <w:t>42.85%</w:t>
      </w:r>
      <w:r w:rsidR="002D1C8A" w:rsidRPr="002D1C8A">
        <w:rPr>
          <w:rFonts w:hAnsi="Times New Roman"/>
          <w:sz w:val="28"/>
          <w:szCs w:val="28"/>
        </w:rPr>
        <w:t>。</w:t>
      </w:r>
    </w:p>
    <w:p w:rsidR="00B87C8A" w:rsidRDefault="002D1C8A">
      <w:pPr>
        <w:spacing w:line="360" w:lineRule="auto"/>
        <w:ind w:firstLineChars="200" w:firstLine="640"/>
        <w:rPr>
          <w:sz w:val="32"/>
          <w:szCs w:val="32"/>
        </w:rPr>
      </w:pPr>
      <w:r>
        <w:rPr>
          <w:rFonts w:ascii="黑体" w:eastAsia="黑体" w:hAnsi="Times New Roman" w:cs="黑体"/>
          <w:sz w:val="32"/>
          <w:szCs w:val="32"/>
        </w:rPr>
        <w:t xml:space="preserve">四、财政拨款收入支出决算总体情况说明 </w:t>
      </w:r>
    </w:p>
    <w:p w:rsidR="00BB4E3A" w:rsidRDefault="00CA5E48" w:rsidP="00AF481F">
      <w:pPr>
        <w:spacing w:line="360" w:lineRule="auto"/>
        <w:ind w:firstLineChars="200" w:firstLine="560"/>
        <w:rPr>
          <w:rFonts w:hAnsi="Times New Roman"/>
          <w:color w:val="000000" w:themeColor="text1"/>
          <w:sz w:val="28"/>
          <w:szCs w:val="28"/>
        </w:rPr>
      </w:pPr>
      <w:r w:rsidRPr="00AF481F">
        <w:rPr>
          <w:rFonts w:hAnsi="Times New Roman"/>
          <w:color w:val="000000" w:themeColor="text1"/>
          <w:sz w:val="28"/>
          <w:szCs w:val="28"/>
        </w:rPr>
        <w:t>202</w:t>
      </w:r>
      <w:r w:rsidR="000F7DB4">
        <w:rPr>
          <w:rFonts w:hAnsi="Times New Roman" w:hint="eastAsia"/>
          <w:color w:val="000000" w:themeColor="text1"/>
          <w:sz w:val="28"/>
          <w:szCs w:val="28"/>
        </w:rPr>
        <w:t>3</w:t>
      </w:r>
      <w:r w:rsidR="002D1C8A" w:rsidRPr="00AF481F">
        <w:rPr>
          <w:rFonts w:hAnsi="Times New Roman"/>
          <w:color w:val="000000" w:themeColor="text1"/>
          <w:sz w:val="28"/>
          <w:szCs w:val="28"/>
        </w:rPr>
        <w:t>年度财政拨款收、支（含结转和结余）总计均为</w:t>
      </w:r>
      <w:r w:rsidR="000F7DB4" w:rsidRPr="000F7DB4">
        <w:rPr>
          <w:rFonts w:hAnsi="Times New Roman"/>
          <w:color w:val="000000" w:themeColor="text1"/>
          <w:sz w:val="28"/>
          <w:szCs w:val="28"/>
        </w:rPr>
        <w:t>59,509.44</w:t>
      </w:r>
      <w:r w:rsidR="002D1C8A" w:rsidRPr="00AF481F">
        <w:rPr>
          <w:rFonts w:hAnsi="Times New Roman"/>
          <w:color w:val="000000" w:themeColor="text1"/>
          <w:sz w:val="28"/>
          <w:szCs w:val="28"/>
        </w:rPr>
        <w:t>万元，与</w:t>
      </w:r>
      <w:r w:rsidR="002D625C" w:rsidRPr="00AF481F">
        <w:rPr>
          <w:rFonts w:hAnsi="Times New Roman"/>
          <w:color w:val="000000" w:themeColor="text1"/>
          <w:sz w:val="28"/>
          <w:szCs w:val="28"/>
        </w:rPr>
        <w:t>202</w:t>
      </w:r>
      <w:r w:rsidR="000F7DB4">
        <w:rPr>
          <w:rFonts w:hAnsi="Times New Roman" w:hint="eastAsia"/>
          <w:color w:val="000000" w:themeColor="text1"/>
          <w:sz w:val="28"/>
          <w:szCs w:val="28"/>
        </w:rPr>
        <w:t>2</w:t>
      </w:r>
      <w:r w:rsidR="002D1C8A" w:rsidRPr="00AF481F">
        <w:rPr>
          <w:rFonts w:hAnsi="Times New Roman"/>
          <w:color w:val="000000" w:themeColor="text1"/>
          <w:sz w:val="28"/>
          <w:szCs w:val="28"/>
        </w:rPr>
        <w:t>年相比，财政拨款收、支总计各增加</w:t>
      </w:r>
      <w:r w:rsidR="00BB4E3A" w:rsidRPr="00BB4E3A">
        <w:rPr>
          <w:rFonts w:hAnsi="Times New Roman"/>
          <w:color w:val="000000" w:themeColor="text1"/>
          <w:sz w:val="28"/>
          <w:szCs w:val="28"/>
        </w:rPr>
        <w:t>527.34</w:t>
      </w:r>
      <w:r w:rsidR="002D1C8A" w:rsidRPr="00AF481F">
        <w:rPr>
          <w:rFonts w:hAnsi="Times New Roman"/>
          <w:color w:val="000000" w:themeColor="text1"/>
          <w:sz w:val="28"/>
          <w:szCs w:val="28"/>
        </w:rPr>
        <w:t>万元，增长</w:t>
      </w:r>
      <w:r w:rsidR="00BB4E3A" w:rsidRPr="00BB4E3A">
        <w:rPr>
          <w:rFonts w:hAnsi="Times New Roman"/>
          <w:color w:val="000000" w:themeColor="text1"/>
          <w:sz w:val="28"/>
          <w:szCs w:val="28"/>
        </w:rPr>
        <w:t>0.89%</w:t>
      </w:r>
      <w:r w:rsidR="002D1C8A" w:rsidRPr="00AF481F">
        <w:rPr>
          <w:rFonts w:hAnsi="Times New Roman"/>
          <w:color w:val="000000" w:themeColor="text1"/>
          <w:sz w:val="28"/>
          <w:szCs w:val="28"/>
        </w:rPr>
        <w:t>。</w:t>
      </w:r>
      <w:r w:rsidR="00317683" w:rsidRPr="00E764E7">
        <w:rPr>
          <w:rFonts w:hAnsi="Times New Roman" w:hint="eastAsia"/>
          <w:color w:val="000000" w:themeColor="text1"/>
          <w:sz w:val="28"/>
          <w:szCs w:val="28"/>
        </w:rPr>
        <w:t>主要原因是</w:t>
      </w:r>
      <w:r w:rsidR="00BB4E3A">
        <w:rPr>
          <w:rFonts w:hAnsi="Times New Roman" w:hint="eastAsia"/>
          <w:color w:val="000000" w:themeColor="text1"/>
          <w:sz w:val="28"/>
          <w:szCs w:val="28"/>
        </w:rPr>
        <w:t>随着学</w:t>
      </w:r>
      <w:r w:rsidR="00BB4E3A" w:rsidRPr="00BB4E3A">
        <w:rPr>
          <w:rFonts w:hAnsi="Times New Roman" w:hint="eastAsia"/>
          <w:color w:val="000000" w:themeColor="text1"/>
          <w:sz w:val="28"/>
          <w:szCs w:val="28"/>
        </w:rPr>
        <w:t>校招生规模扩大</w:t>
      </w:r>
      <w:r w:rsidR="00BB4E3A">
        <w:rPr>
          <w:rFonts w:hAnsi="Times New Roman" w:hint="eastAsia"/>
          <w:color w:val="000000" w:themeColor="text1"/>
          <w:sz w:val="28"/>
          <w:szCs w:val="28"/>
        </w:rPr>
        <w:t>、</w:t>
      </w:r>
      <w:r w:rsidR="00BB4E3A" w:rsidRPr="00BB4E3A">
        <w:rPr>
          <w:rFonts w:hAnsi="Times New Roman" w:hint="eastAsia"/>
          <w:color w:val="000000" w:themeColor="text1"/>
          <w:sz w:val="28"/>
          <w:szCs w:val="28"/>
        </w:rPr>
        <w:t>教学活动、科研活动以及相关管理建设等</w:t>
      </w:r>
      <w:r w:rsidR="00BB4E3A">
        <w:rPr>
          <w:rFonts w:hAnsi="Times New Roman" w:hint="eastAsia"/>
          <w:color w:val="000000" w:themeColor="text1"/>
          <w:sz w:val="28"/>
          <w:szCs w:val="28"/>
        </w:rPr>
        <w:t>项目</w:t>
      </w:r>
      <w:r w:rsidR="00BB4E3A" w:rsidRPr="00BB4E3A">
        <w:rPr>
          <w:rFonts w:hAnsi="Times New Roman" w:hint="eastAsia"/>
          <w:color w:val="000000" w:themeColor="text1"/>
          <w:sz w:val="28"/>
          <w:szCs w:val="28"/>
        </w:rPr>
        <w:t>增多</w:t>
      </w:r>
      <w:r w:rsidR="00BB4E3A">
        <w:rPr>
          <w:rFonts w:hAnsi="Times New Roman" w:hint="eastAsia"/>
          <w:color w:val="000000" w:themeColor="text1"/>
          <w:sz w:val="28"/>
          <w:szCs w:val="28"/>
        </w:rPr>
        <w:t>，</w:t>
      </w:r>
      <w:r w:rsidR="00BB4E3A" w:rsidRPr="00BB4E3A">
        <w:rPr>
          <w:rFonts w:hAnsi="Times New Roman" w:hint="eastAsia"/>
          <w:color w:val="000000" w:themeColor="text1"/>
          <w:sz w:val="28"/>
          <w:szCs w:val="28"/>
        </w:rPr>
        <w:t>一般公共预算财政拨款</w:t>
      </w:r>
      <w:r w:rsidR="00C61114">
        <w:rPr>
          <w:rFonts w:hAnsi="Times New Roman" w:hint="eastAsia"/>
          <w:color w:val="000000" w:themeColor="text1"/>
          <w:sz w:val="28"/>
          <w:szCs w:val="28"/>
        </w:rPr>
        <w:t>、</w:t>
      </w:r>
      <w:r w:rsidR="00BB4E3A">
        <w:rPr>
          <w:rFonts w:hAnsi="Times New Roman" w:hint="eastAsia"/>
          <w:color w:val="000000" w:themeColor="text1"/>
          <w:sz w:val="28"/>
          <w:szCs w:val="28"/>
        </w:rPr>
        <w:t>教育支出</w:t>
      </w:r>
      <w:r w:rsidR="00DC5B65">
        <w:rPr>
          <w:rFonts w:hAnsi="Times New Roman" w:hint="eastAsia"/>
          <w:color w:val="000000" w:themeColor="text1"/>
          <w:sz w:val="28"/>
          <w:szCs w:val="28"/>
        </w:rPr>
        <w:t>、</w:t>
      </w:r>
      <w:r w:rsidR="00C61114">
        <w:rPr>
          <w:rFonts w:hAnsi="Times New Roman" w:hint="eastAsia"/>
          <w:color w:val="000000" w:themeColor="text1"/>
          <w:sz w:val="28"/>
          <w:szCs w:val="28"/>
        </w:rPr>
        <w:t>科学技术支出较上年</w:t>
      </w:r>
      <w:r w:rsidR="00BB4E3A">
        <w:rPr>
          <w:rFonts w:hAnsi="Times New Roman" w:hint="eastAsia"/>
          <w:color w:val="000000" w:themeColor="text1"/>
          <w:sz w:val="28"/>
          <w:szCs w:val="28"/>
        </w:rPr>
        <w:t>有所增长。</w:t>
      </w:r>
    </w:p>
    <w:p w:rsidR="00B87C8A" w:rsidRDefault="002D1C8A">
      <w:pPr>
        <w:spacing w:line="360" w:lineRule="auto"/>
        <w:ind w:firstLineChars="200" w:firstLine="640"/>
        <w:rPr>
          <w:sz w:val="32"/>
          <w:szCs w:val="32"/>
        </w:rPr>
      </w:pPr>
      <w:r>
        <w:rPr>
          <w:rFonts w:ascii="黑体" w:eastAsia="黑体" w:hAnsi="Times New Roman" w:cs="黑体"/>
          <w:sz w:val="32"/>
          <w:szCs w:val="32"/>
        </w:rPr>
        <w:t>五、一般公共预算财政拨款支出决算情况说明</w:t>
      </w:r>
    </w:p>
    <w:p w:rsidR="00B87C8A" w:rsidRDefault="002D1C8A">
      <w:pPr>
        <w:spacing w:line="360" w:lineRule="auto"/>
        <w:ind w:firstLineChars="200" w:firstLine="562"/>
        <w:rPr>
          <w:sz w:val="28"/>
          <w:szCs w:val="28"/>
        </w:rPr>
      </w:pPr>
      <w:r>
        <w:rPr>
          <w:rFonts w:hAnsi="Times New Roman"/>
          <w:b/>
          <w:sz w:val="28"/>
          <w:szCs w:val="28"/>
        </w:rPr>
        <w:t>（一）</w:t>
      </w:r>
      <w:r>
        <w:rPr>
          <w:rFonts w:hAnsi="Times New Roman"/>
          <w:b/>
          <w:sz w:val="28"/>
          <w:szCs w:val="28"/>
          <w:lang w:val="zh-CN"/>
        </w:rPr>
        <w:t>财政</w:t>
      </w:r>
      <w:r>
        <w:rPr>
          <w:rFonts w:hAnsi="Times New Roman"/>
          <w:b/>
          <w:sz w:val="28"/>
          <w:szCs w:val="28"/>
        </w:rPr>
        <w:t>拨款支出决算总体情况</w:t>
      </w:r>
    </w:p>
    <w:p w:rsidR="004D02BD" w:rsidRDefault="005D72A6" w:rsidP="00790136">
      <w:pPr>
        <w:spacing w:line="360" w:lineRule="auto"/>
        <w:ind w:firstLineChars="200" w:firstLine="560"/>
        <w:rPr>
          <w:rFonts w:hAnsi="Times New Roman"/>
          <w:sz w:val="28"/>
          <w:szCs w:val="28"/>
        </w:rPr>
      </w:pPr>
      <w:r>
        <w:rPr>
          <w:rFonts w:hAnsi="Times New Roman"/>
          <w:sz w:val="28"/>
          <w:szCs w:val="28"/>
        </w:rPr>
        <w:t>202</w:t>
      </w:r>
      <w:r w:rsidR="00C61114">
        <w:rPr>
          <w:rFonts w:hAnsi="Times New Roman" w:hint="eastAsia"/>
          <w:sz w:val="28"/>
          <w:szCs w:val="28"/>
        </w:rPr>
        <w:t>3</w:t>
      </w:r>
      <w:r w:rsidR="002D1C8A" w:rsidRPr="002D1C8A">
        <w:rPr>
          <w:rFonts w:hAnsi="Times New Roman"/>
          <w:sz w:val="28"/>
          <w:szCs w:val="28"/>
        </w:rPr>
        <w:t>年度财政拨款支出</w:t>
      </w:r>
      <w:r w:rsidR="00C61114" w:rsidRPr="00C61114">
        <w:rPr>
          <w:rFonts w:hAnsi="Times New Roman"/>
          <w:sz w:val="28"/>
          <w:szCs w:val="28"/>
        </w:rPr>
        <w:t>51,044.12</w:t>
      </w:r>
      <w:r w:rsidR="002D1C8A" w:rsidRPr="002D1C8A">
        <w:rPr>
          <w:rFonts w:hAnsi="Times New Roman"/>
          <w:sz w:val="28"/>
          <w:szCs w:val="28"/>
        </w:rPr>
        <w:t>万元，占本年支出合计的</w:t>
      </w:r>
      <w:r w:rsidR="00C61114" w:rsidRPr="00C61114">
        <w:rPr>
          <w:rFonts w:hAnsi="Times New Roman"/>
          <w:sz w:val="28"/>
          <w:szCs w:val="28"/>
        </w:rPr>
        <w:t>69.62%</w:t>
      </w:r>
      <w:r w:rsidR="002D1C8A" w:rsidRPr="002D1C8A">
        <w:rPr>
          <w:rFonts w:hAnsi="Times New Roman"/>
          <w:sz w:val="28"/>
          <w:szCs w:val="28"/>
        </w:rPr>
        <w:t>。与</w:t>
      </w:r>
      <w:r>
        <w:rPr>
          <w:rFonts w:hAnsi="Times New Roman"/>
          <w:sz w:val="28"/>
          <w:szCs w:val="28"/>
        </w:rPr>
        <w:t>202</w:t>
      </w:r>
      <w:r w:rsidR="00C61114">
        <w:rPr>
          <w:rFonts w:hAnsi="Times New Roman" w:hint="eastAsia"/>
          <w:sz w:val="28"/>
          <w:szCs w:val="28"/>
        </w:rPr>
        <w:t>2</w:t>
      </w:r>
      <w:r w:rsidR="002D1C8A" w:rsidRPr="002D1C8A">
        <w:rPr>
          <w:rFonts w:hAnsi="Times New Roman"/>
          <w:sz w:val="28"/>
          <w:szCs w:val="28"/>
        </w:rPr>
        <w:t>年度相比，财政拨款支出增加</w:t>
      </w:r>
      <w:r w:rsidR="00C61114" w:rsidRPr="00C61114">
        <w:rPr>
          <w:rFonts w:hAnsi="Times New Roman"/>
          <w:sz w:val="28"/>
          <w:szCs w:val="28"/>
        </w:rPr>
        <w:t>6,585.7</w:t>
      </w:r>
      <w:r w:rsidR="002D1C8A" w:rsidRPr="002D1C8A">
        <w:rPr>
          <w:rFonts w:hAnsi="Times New Roman"/>
          <w:sz w:val="28"/>
          <w:szCs w:val="28"/>
        </w:rPr>
        <w:t>万元，增长</w:t>
      </w:r>
      <w:r w:rsidR="00C61114" w:rsidRPr="00C61114">
        <w:rPr>
          <w:rFonts w:hAnsi="Times New Roman"/>
          <w:sz w:val="28"/>
          <w:szCs w:val="28"/>
        </w:rPr>
        <w:t>14.81%</w:t>
      </w:r>
      <w:r w:rsidR="00790136">
        <w:rPr>
          <w:rFonts w:hAnsi="Times New Roman" w:hint="eastAsia"/>
          <w:sz w:val="28"/>
          <w:szCs w:val="28"/>
        </w:rPr>
        <w:t>，</w:t>
      </w:r>
      <w:r w:rsidR="004D02BD" w:rsidRPr="004D02BD">
        <w:rPr>
          <w:rFonts w:hAnsi="Times New Roman" w:hint="eastAsia"/>
          <w:sz w:val="28"/>
          <w:szCs w:val="28"/>
        </w:rPr>
        <w:t>主</w:t>
      </w:r>
      <w:r w:rsidR="004D02BD" w:rsidRPr="004D02BD">
        <w:rPr>
          <w:rFonts w:hAnsi="Times New Roman" w:hint="eastAsia"/>
          <w:sz w:val="28"/>
          <w:szCs w:val="28"/>
        </w:rPr>
        <w:lastRenderedPageBreak/>
        <w:t>要原因</w:t>
      </w:r>
      <w:r w:rsidR="004D02BD">
        <w:rPr>
          <w:rFonts w:hAnsi="Times New Roman" w:hint="eastAsia"/>
          <w:sz w:val="28"/>
          <w:szCs w:val="28"/>
        </w:rPr>
        <w:t>是</w:t>
      </w:r>
      <w:r w:rsidR="004D02BD" w:rsidRPr="004D02BD">
        <w:rPr>
          <w:rFonts w:hAnsi="Times New Roman" w:hint="eastAsia"/>
          <w:sz w:val="28"/>
          <w:szCs w:val="28"/>
        </w:rPr>
        <w:t>为</w:t>
      </w:r>
      <w:r w:rsidR="00783A75">
        <w:rPr>
          <w:rFonts w:hAnsi="Times New Roman" w:hint="eastAsia"/>
          <w:sz w:val="28"/>
          <w:szCs w:val="28"/>
        </w:rPr>
        <w:t>了</w:t>
      </w:r>
      <w:r w:rsidR="004D02BD">
        <w:rPr>
          <w:rFonts w:hAnsi="Times New Roman" w:hint="eastAsia"/>
          <w:sz w:val="28"/>
          <w:szCs w:val="28"/>
        </w:rPr>
        <w:t>进一步加强内涵式发展、</w:t>
      </w:r>
      <w:r w:rsidR="004D02BD" w:rsidRPr="004D02BD">
        <w:rPr>
          <w:rFonts w:hAnsi="Times New Roman" w:hint="eastAsia"/>
          <w:sz w:val="28"/>
          <w:szCs w:val="28"/>
        </w:rPr>
        <w:t>提升办学条件</w:t>
      </w:r>
      <w:r w:rsidR="00783A75">
        <w:rPr>
          <w:rFonts w:hAnsi="Times New Roman" w:hint="eastAsia"/>
          <w:sz w:val="28"/>
          <w:szCs w:val="28"/>
        </w:rPr>
        <w:t>，</w:t>
      </w:r>
      <w:r w:rsidR="004D02BD" w:rsidRPr="004D02BD">
        <w:rPr>
          <w:rFonts w:hAnsi="Times New Roman" w:hint="eastAsia"/>
          <w:sz w:val="28"/>
          <w:szCs w:val="28"/>
        </w:rPr>
        <w:t>学校</w:t>
      </w:r>
      <w:r w:rsidR="00783A75" w:rsidRPr="00783A75">
        <w:rPr>
          <w:rFonts w:hAnsi="Times New Roman" w:hint="eastAsia"/>
          <w:sz w:val="28"/>
          <w:szCs w:val="28"/>
        </w:rPr>
        <w:t>增加了相关教育经费投入</w:t>
      </w:r>
      <w:r w:rsidR="00783A75">
        <w:rPr>
          <w:rFonts w:hAnsi="Times New Roman" w:hint="eastAsia"/>
          <w:sz w:val="28"/>
          <w:szCs w:val="28"/>
        </w:rPr>
        <w:t>，包括积极新建学生公寓和综合实训楼、改造老旧</w:t>
      </w:r>
      <w:r w:rsidR="00790136">
        <w:rPr>
          <w:rFonts w:hAnsi="Times New Roman" w:hint="eastAsia"/>
          <w:sz w:val="28"/>
          <w:szCs w:val="28"/>
        </w:rPr>
        <w:t>教学楼及公共区域</w:t>
      </w:r>
      <w:r w:rsidR="00783A75">
        <w:rPr>
          <w:rFonts w:hAnsi="Times New Roman" w:hint="eastAsia"/>
          <w:sz w:val="28"/>
          <w:szCs w:val="28"/>
        </w:rPr>
        <w:t>、</w:t>
      </w:r>
      <w:r w:rsidR="00790136">
        <w:rPr>
          <w:rFonts w:hAnsi="Times New Roman" w:hint="eastAsia"/>
          <w:sz w:val="28"/>
          <w:szCs w:val="28"/>
        </w:rPr>
        <w:t>水电智能化建设等校园</w:t>
      </w:r>
      <w:r w:rsidR="00790136" w:rsidRPr="00790136">
        <w:rPr>
          <w:rFonts w:hAnsi="Times New Roman" w:hint="eastAsia"/>
          <w:sz w:val="28"/>
          <w:szCs w:val="28"/>
        </w:rPr>
        <w:t>基础设施建设</w:t>
      </w:r>
      <w:r w:rsidR="00790136">
        <w:rPr>
          <w:rFonts w:hAnsi="Times New Roman" w:hint="eastAsia"/>
          <w:sz w:val="28"/>
          <w:szCs w:val="28"/>
        </w:rPr>
        <w:t>。此外，由于学生数量增加以及</w:t>
      </w:r>
      <w:r w:rsidR="00790136" w:rsidRPr="00790136">
        <w:rPr>
          <w:rFonts w:hAnsi="Times New Roman" w:hint="eastAsia"/>
          <w:sz w:val="28"/>
          <w:szCs w:val="28"/>
        </w:rPr>
        <w:t>疫情管控放开后正常开展教学教辅</w:t>
      </w:r>
      <w:r w:rsidR="00790136">
        <w:rPr>
          <w:rFonts w:hAnsi="Times New Roman" w:hint="eastAsia"/>
          <w:sz w:val="28"/>
          <w:szCs w:val="28"/>
        </w:rPr>
        <w:t>和</w:t>
      </w:r>
      <w:r w:rsidR="00790136" w:rsidRPr="00790136">
        <w:rPr>
          <w:rFonts w:hAnsi="Times New Roman" w:hint="eastAsia"/>
          <w:sz w:val="28"/>
          <w:szCs w:val="28"/>
        </w:rPr>
        <w:t>科研活动</w:t>
      </w:r>
      <w:r w:rsidR="00790136">
        <w:rPr>
          <w:rFonts w:hAnsi="Times New Roman" w:hint="eastAsia"/>
          <w:sz w:val="28"/>
          <w:szCs w:val="28"/>
        </w:rPr>
        <w:t>，</w:t>
      </w:r>
      <w:r w:rsidR="00790136" w:rsidRPr="00790136">
        <w:rPr>
          <w:rFonts w:hAnsi="Times New Roman" w:hint="eastAsia"/>
          <w:sz w:val="28"/>
          <w:szCs w:val="28"/>
        </w:rPr>
        <w:t>相关教学</w:t>
      </w:r>
      <w:r w:rsidR="00790136">
        <w:rPr>
          <w:rFonts w:hAnsi="Times New Roman" w:hint="eastAsia"/>
          <w:sz w:val="28"/>
          <w:szCs w:val="28"/>
        </w:rPr>
        <w:t>运行运转经费开支增加。</w:t>
      </w:r>
    </w:p>
    <w:p w:rsidR="00EA492B" w:rsidRDefault="002D1C8A" w:rsidP="00EA492B">
      <w:pPr>
        <w:spacing w:line="360" w:lineRule="auto"/>
        <w:ind w:firstLineChars="200" w:firstLine="562"/>
        <w:rPr>
          <w:sz w:val="28"/>
          <w:szCs w:val="28"/>
        </w:rPr>
      </w:pPr>
      <w:r w:rsidRPr="002D1C8A">
        <w:rPr>
          <w:rFonts w:hAnsi="Times New Roman"/>
          <w:b/>
          <w:sz w:val="28"/>
          <w:szCs w:val="28"/>
        </w:rPr>
        <w:t>（二）财政拨款支出决算结构情况</w:t>
      </w:r>
    </w:p>
    <w:p w:rsidR="005D72A6" w:rsidRPr="00EA492B" w:rsidRDefault="005D72A6" w:rsidP="00EA492B">
      <w:pPr>
        <w:spacing w:line="360" w:lineRule="auto"/>
        <w:ind w:firstLineChars="200" w:firstLine="560"/>
        <w:rPr>
          <w:sz w:val="28"/>
          <w:szCs w:val="28"/>
        </w:rPr>
      </w:pPr>
      <w:r w:rsidRPr="00EA492B">
        <w:rPr>
          <w:sz w:val="28"/>
          <w:szCs w:val="28"/>
          <w:lang w:val="zh-CN"/>
        </w:rPr>
        <w:t>202</w:t>
      </w:r>
      <w:r w:rsidR="003C20D8">
        <w:rPr>
          <w:rFonts w:hint="eastAsia"/>
          <w:sz w:val="28"/>
          <w:szCs w:val="28"/>
          <w:lang w:val="zh-CN"/>
        </w:rPr>
        <w:t>3</w:t>
      </w:r>
      <w:r w:rsidRPr="00EA492B">
        <w:rPr>
          <w:rFonts w:hint="eastAsia"/>
          <w:sz w:val="28"/>
          <w:szCs w:val="28"/>
          <w:lang w:val="zh-CN"/>
        </w:rPr>
        <w:t>年度财政拨款支出</w:t>
      </w:r>
      <w:r w:rsidR="003C20D8" w:rsidRPr="003C20D8">
        <w:rPr>
          <w:sz w:val="28"/>
          <w:szCs w:val="28"/>
          <w:lang w:val="zh-CN"/>
        </w:rPr>
        <w:t>51,044.12</w:t>
      </w:r>
      <w:r w:rsidRPr="00EA492B">
        <w:rPr>
          <w:rFonts w:hint="eastAsia"/>
          <w:sz w:val="28"/>
          <w:szCs w:val="28"/>
          <w:lang w:val="zh-CN"/>
        </w:rPr>
        <w:t>万元，主要用于以下方面：一般公共服务（类）支出</w:t>
      </w:r>
      <w:r w:rsidR="003C20D8" w:rsidRPr="003C20D8">
        <w:rPr>
          <w:sz w:val="28"/>
          <w:szCs w:val="28"/>
          <w:lang w:val="zh-CN"/>
        </w:rPr>
        <w:t>32.62</w:t>
      </w:r>
      <w:r w:rsidRPr="00EA492B">
        <w:rPr>
          <w:rFonts w:hint="eastAsia"/>
          <w:sz w:val="28"/>
          <w:szCs w:val="28"/>
          <w:lang w:val="zh-CN"/>
        </w:rPr>
        <w:t>万元，占</w:t>
      </w:r>
      <w:r w:rsidR="003C20D8" w:rsidRPr="003C20D8">
        <w:rPr>
          <w:sz w:val="28"/>
          <w:szCs w:val="28"/>
          <w:lang w:val="zh-CN"/>
        </w:rPr>
        <w:t>0.06%</w:t>
      </w:r>
      <w:r w:rsidRPr="00EA492B">
        <w:rPr>
          <w:rFonts w:hint="eastAsia"/>
          <w:sz w:val="28"/>
          <w:szCs w:val="28"/>
          <w:lang w:val="zh-CN"/>
        </w:rPr>
        <w:t>；教育（类）支出</w:t>
      </w:r>
      <w:r w:rsidR="003C20D8" w:rsidRPr="003C20D8">
        <w:rPr>
          <w:sz w:val="28"/>
          <w:szCs w:val="28"/>
          <w:lang w:val="zh-CN"/>
        </w:rPr>
        <w:t>50,165.80</w:t>
      </w:r>
      <w:r w:rsidRPr="00EA492B">
        <w:rPr>
          <w:rFonts w:hint="eastAsia"/>
          <w:sz w:val="28"/>
          <w:szCs w:val="28"/>
          <w:lang w:val="zh-CN"/>
        </w:rPr>
        <w:t>万元，占</w:t>
      </w:r>
      <w:r w:rsidR="003C20D8" w:rsidRPr="003C20D8">
        <w:rPr>
          <w:sz w:val="28"/>
          <w:szCs w:val="28"/>
          <w:lang w:val="zh-CN"/>
        </w:rPr>
        <w:t>98.28%</w:t>
      </w:r>
      <w:r w:rsidRPr="00EA492B">
        <w:rPr>
          <w:rFonts w:hint="eastAsia"/>
          <w:sz w:val="28"/>
          <w:szCs w:val="28"/>
          <w:lang w:val="zh-CN"/>
        </w:rPr>
        <w:t>；科学技术（类）支出</w:t>
      </w:r>
      <w:r w:rsidR="003C20D8" w:rsidRPr="003C20D8">
        <w:rPr>
          <w:sz w:val="28"/>
          <w:szCs w:val="28"/>
          <w:lang w:val="zh-CN"/>
        </w:rPr>
        <w:t>398.20</w:t>
      </w:r>
      <w:r w:rsidRPr="00EA492B">
        <w:rPr>
          <w:rFonts w:hint="eastAsia"/>
          <w:sz w:val="28"/>
          <w:szCs w:val="28"/>
          <w:lang w:val="zh-CN"/>
        </w:rPr>
        <w:t>万元，占</w:t>
      </w:r>
      <w:r w:rsidR="003C20D8" w:rsidRPr="003C20D8">
        <w:rPr>
          <w:sz w:val="28"/>
          <w:szCs w:val="28"/>
          <w:lang w:val="zh-CN"/>
        </w:rPr>
        <w:t>0.78%</w:t>
      </w:r>
      <w:r w:rsidRPr="00EA492B">
        <w:rPr>
          <w:rFonts w:hint="eastAsia"/>
          <w:sz w:val="28"/>
          <w:szCs w:val="28"/>
          <w:lang w:val="zh-CN"/>
        </w:rPr>
        <w:t>；文化旅游体育与传媒（类）支出</w:t>
      </w:r>
      <w:r w:rsidRPr="00EA492B">
        <w:rPr>
          <w:sz w:val="28"/>
          <w:szCs w:val="28"/>
          <w:lang w:val="zh-CN"/>
        </w:rPr>
        <w:t>50</w:t>
      </w:r>
      <w:r w:rsidRPr="00EA492B">
        <w:rPr>
          <w:rFonts w:hint="eastAsia"/>
          <w:sz w:val="28"/>
          <w:szCs w:val="28"/>
          <w:lang w:val="zh-CN"/>
        </w:rPr>
        <w:t>万元，占</w:t>
      </w:r>
      <w:r w:rsidR="003C20D8" w:rsidRPr="003C20D8">
        <w:rPr>
          <w:sz w:val="28"/>
          <w:szCs w:val="28"/>
          <w:lang w:val="zh-CN"/>
        </w:rPr>
        <w:t>0.10%</w:t>
      </w:r>
      <w:r w:rsidRPr="00EA492B">
        <w:rPr>
          <w:rFonts w:hint="eastAsia"/>
          <w:sz w:val="28"/>
          <w:szCs w:val="28"/>
          <w:lang w:val="zh-CN"/>
        </w:rPr>
        <w:t>；社会保障和就业（类）支出</w:t>
      </w:r>
      <w:r w:rsidR="003C20D8" w:rsidRPr="003C20D8">
        <w:rPr>
          <w:sz w:val="28"/>
          <w:szCs w:val="28"/>
          <w:lang w:val="zh-CN"/>
        </w:rPr>
        <w:t>15.22</w:t>
      </w:r>
      <w:r w:rsidRPr="00EA492B">
        <w:rPr>
          <w:rFonts w:hint="eastAsia"/>
          <w:sz w:val="28"/>
          <w:szCs w:val="28"/>
          <w:lang w:val="zh-CN"/>
        </w:rPr>
        <w:t>万元，占</w:t>
      </w:r>
      <w:r w:rsidR="003C20D8" w:rsidRPr="003C20D8">
        <w:rPr>
          <w:sz w:val="28"/>
          <w:szCs w:val="28"/>
          <w:lang w:val="zh-CN"/>
        </w:rPr>
        <w:t>0.03%</w:t>
      </w:r>
      <w:r w:rsidRPr="00EA492B">
        <w:rPr>
          <w:rFonts w:hint="eastAsia"/>
          <w:sz w:val="28"/>
          <w:szCs w:val="28"/>
          <w:lang w:val="zh-CN"/>
        </w:rPr>
        <w:t>；卫生健康（类）支出</w:t>
      </w:r>
      <w:r w:rsidR="003C20D8" w:rsidRPr="003C20D8">
        <w:rPr>
          <w:sz w:val="28"/>
          <w:szCs w:val="28"/>
          <w:lang w:val="zh-CN"/>
        </w:rPr>
        <w:t>372.28</w:t>
      </w:r>
      <w:r w:rsidRPr="00EA492B">
        <w:rPr>
          <w:rFonts w:hint="eastAsia"/>
          <w:sz w:val="28"/>
          <w:szCs w:val="28"/>
          <w:lang w:val="zh-CN"/>
        </w:rPr>
        <w:t>万元，占</w:t>
      </w:r>
      <w:r w:rsidR="003C20D8" w:rsidRPr="003C20D8">
        <w:rPr>
          <w:sz w:val="28"/>
          <w:szCs w:val="28"/>
          <w:lang w:val="zh-CN"/>
        </w:rPr>
        <w:t>0.73%</w:t>
      </w:r>
      <w:r w:rsidRPr="00EA492B">
        <w:rPr>
          <w:rFonts w:hint="eastAsia"/>
          <w:sz w:val="28"/>
          <w:szCs w:val="28"/>
          <w:lang w:val="zh-CN"/>
        </w:rPr>
        <w:t>；</w:t>
      </w:r>
      <w:r w:rsidR="003C20D8" w:rsidRPr="003C20D8">
        <w:rPr>
          <w:rFonts w:hint="eastAsia"/>
          <w:sz w:val="28"/>
          <w:szCs w:val="28"/>
          <w:lang w:val="zh-CN"/>
        </w:rPr>
        <w:t>节能环保</w:t>
      </w:r>
      <w:r w:rsidR="003C20D8">
        <w:rPr>
          <w:rFonts w:hint="eastAsia"/>
          <w:sz w:val="28"/>
          <w:szCs w:val="28"/>
          <w:lang w:val="zh-CN"/>
        </w:rPr>
        <w:t>（类）</w:t>
      </w:r>
      <w:r w:rsidR="003C20D8" w:rsidRPr="003C20D8">
        <w:rPr>
          <w:rFonts w:hint="eastAsia"/>
          <w:sz w:val="28"/>
          <w:szCs w:val="28"/>
          <w:lang w:val="zh-CN"/>
        </w:rPr>
        <w:t>支出</w:t>
      </w:r>
      <w:r w:rsidR="003C20D8" w:rsidRPr="003C20D8">
        <w:rPr>
          <w:sz w:val="28"/>
          <w:szCs w:val="28"/>
          <w:lang w:val="zh-CN"/>
        </w:rPr>
        <w:t>10.00</w:t>
      </w:r>
      <w:r w:rsidR="003C20D8">
        <w:rPr>
          <w:rFonts w:hint="eastAsia"/>
          <w:sz w:val="28"/>
          <w:szCs w:val="28"/>
          <w:lang w:val="zh-CN"/>
        </w:rPr>
        <w:t>万元，占</w:t>
      </w:r>
      <w:r w:rsidR="003C20D8" w:rsidRPr="003C20D8">
        <w:rPr>
          <w:sz w:val="28"/>
          <w:szCs w:val="28"/>
          <w:lang w:val="zh-CN"/>
        </w:rPr>
        <w:t>0.02%</w:t>
      </w:r>
      <w:r w:rsidR="00556574">
        <w:rPr>
          <w:rFonts w:hint="eastAsia"/>
          <w:sz w:val="28"/>
          <w:szCs w:val="28"/>
          <w:lang w:val="zh-CN"/>
        </w:rPr>
        <w:t>。</w:t>
      </w:r>
    </w:p>
    <w:p w:rsidR="00B87C8A" w:rsidRPr="002D1C8A" w:rsidRDefault="002D1C8A">
      <w:pPr>
        <w:spacing w:line="360" w:lineRule="auto"/>
        <w:ind w:firstLineChars="200" w:firstLine="562"/>
        <w:rPr>
          <w:sz w:val="28"/>
          <w:szCs w:val="28"/>
        </w:rPr>
      </w:pPr>
      <w:r w:rsidRPr="002D1C8A">
        <w:rPr>
          <w:b/>
          <w:sz w:val="28"/>
          <w:szCs w:val="28"/>
        </w:rPr>
        <w:t>（三）财政拨款支出决算具体情况</w:t>
      </w:r>
    </w:p>
    <w:p w:rsidR="00B87C8A" w:rsidRPr="00EA492B" w:rsidRDefault="00EA492B" w:rsidP="002D1C8A">
      <w:pPr>
        <w:spacing w:line="360" w:lineRule="auto"/>
        <w:ind w:firstLineChars="200" w:firstLine="560"/>
        <w:rPr>
          <w:sz w:val="28"/>
          <w:szCs w:val="28"/>
          <w:lang w:val="zh-CN"/>
        </w:rPr>
      </w:pPr>
      <w:r>
        <w:rPr>
          <w:sz w:val="28"/>
          <w:szCs w:val="28"/>
          <w:lang w:val="zh-CN"/>
        </w:rPr>
        <w:t>202</w:t>
      </w:r>
      <w:r w:rsidR="00765B9F">
        <w:rPr>
          <w:rFonts w:hint="eastAsia"/>
          <w:sz w:val="28"/>
          <w:szCs w:val="28"/>
          <w:lang w:val="zh-CN"/>
        </w:rPr>
        <w:t>3</w:t>
      </w:r>
      <w:r w:rsidR="002D1C8A" w:rsidRPr="002D1C8A">
        <w:rPr>
          <w:sz w:val="28"/>
          <w:szCs w:val="28"/>
          <w:lang w:val="zh-CN"/>
        </w:rPr>
        <w:t>年度财政拨款支出年初预算为</w:t>
      </w:r>
      <w:r w:rsidR="00765B9F" w:rsidRPr="00765B9F">
        <w:rPr>
          <w:sz w:val="28"/>
          <w:szCs w:val="28"/>
          <w:lang w:val="zh-CN"/>
        </w:rPr>
        <w:t>35,327.71</w:t>
      </w:r>
      <w:r w:rsidR="002D1C8A" w:rsidRPr="002D1C8A">
        <w:rPr>
          <w:sz w:val="28"/>
          <w:szCs w:val="28"/>
          <w:lang w:val="zh-CN"/>
        </w:rPr>
        <w:t>万元，支出决算为</w:t>
      </w:r>
      <w:r w:rsidR="00765B9F" w:rsidRPr="00765B9F">
        <w:rPr>
          <w:sz w:val="28"/>
          <w:szCs w:val="28"/>
          <w:lang w:val="zh-CN"/>
        </w:rPr>
        <w:t>51,044.12</w:t>
      </w:r>
      <w:r w:rsidR="002D1C8A" w:rsidRPr="002D1C8A">
        <w:rPr>
          <w:sz w:val="28"/>
          <w:szCs w:val="28"/>
          <w:lang w:val="zh-CN"/>
        </w:rPr>
        <w:t>万元，</w:t>
      </w:r>
      <w:r w:rsidR="002D1C8A" w:rsidRPr="00EA492B">
        <w:rPr>
          <w:sz w:val="28"/>
          <w:szCs w:val="28"/>
          <w:lang w:val="zh-CN"/>
        </w:rPr>
        <w:t>因年中有财政拨款追加，所以年初预算执行率超过100%</w:t>
      </w:r>
      <w:r w:rsidR="002D1C8A" w:rsidRPr="002D1C8A">
        <w:rPr>
          <w:sz w:val="28"/>
          <w:szCs w:val="28"/>
          <w:lang w:val="zh-CN"/>
        </w:rPr>
        <w:t>。</w:t>
      </w:r>
      <w:r w:rsidR="002D1C8A" w:rsidRPr="00F967E8">
        <w:rPr>
          <w:color w:val="000000" w:themeColor="text1"/>
          <w:sz w:val="28"/>
          <w:szCs w:val="28"/>
          <w:lang w:val="zh-CN"/>
        </w:rPr>
        <w:t>其中</w:t>
      </w:r>
      <w:r w:rsidR="002D1C8A" w:rsidRPr="002D1C8A">
        <w:rPr>
          <w:sz w:val="28"/>
          <w:szCs w:val="28"/>
          <w:lang w:val="zh-CN"/>
        </w:rPr>
        <w:t>：</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EC5189" w:rsidRPr="00EC5189">
        <w:rPr>
          <w:rFonts w:ascii="宋体" w:eastAsia="宋体" w:hAnsi="宋体"/>
          <w:color w:val="auto"/>
          <w:sz w:val="28"/>
          <w:szCs w:val="28"/>
        </w:rPr>
        <w:t>一</w:t>
      </w:r>
      <w:r w:rsidR="00EC5189">
        <w:rPr>
          <w:rFonts w:ascii="宋体" w:eastAsia="宋体" w:hAnsi="宋体"/>
          <w:color w:val="auto"/>
          <w:sz w:val="28"/>
          <w:szCs w:val="28"/>
        </w:rPr>
        <w:t>般公共服务支出（类）财政事务（款）其他财政事务支出（项）</w:t>
      </w:r>
    </w:p>
    <w:p w:rsidR="00EC5189"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w:t>
      </w:r>
      <w:r w:rsidR="00765B9F" w:rsidRPr="00765B9F">
        <w:rPr>
          <w:rFonts w:ascii="宋体" w:eastAsia="宋体" w:hAnsi="宋体"/>
          <w:color w:val="auto"/>
          <w:sz w:val="28"/>
          <w:szCs w:val="28"/>
        </w:rPr>
        <w:t>0.12</w:t>
      </w:r>
      <w:r w:rsidRPr="00EC5189">
        <w:rPr>
          <w:rFonts w:ascii="宋体" w:eastAsia="宋体" w:hAnsi="宋体"/>
          <w:color w:val="auto"/>
          <w:sz w:val="28"/>
          <w:szCs w:val="28"/>
        </w:rPr>
        <w:t>万元，支出决算为</w:t>
      </w:r>
      <w:r w:rsidR="00765B9F" w:rsidRPr="00765B9F">
        <w:rPr>
          <w:rFonts w:ascii="宋体" w:eastAsia="宋体" w:hAnsi="宋体"/>
          <w:color w:val="auto"/>
          <w:sz w:val="28"/>
          <w:szCs w:val="28"/>
        </w:rPr>
        <w:t>0.12</w:t>
      </w:r>
      <w:r w:rsidRPr="00EC5189">
        <w:rPr>
          <w:rFonts w:ascii="宋体" w:eastAsia="宋体" w:hAnsi="宋体"/>
          <w:color w:val="auto"/>
          <w:sz w:val="28"/>
          <w:szCs w:val="28"/>
        </w:rPr>
        <w:t>万元，</w:t>
      </w:r>
      <w:r w:rsidR="00765B9F" w:rsidRPr="00765B9F">
        <w:rPr>
          <w:rFonts w:ascii="宋体" w:eastAsia="宋体" w:hAnsi="宋体"/>
          <w:color w:val="auto"/>
          <w:sz w:val="28"/>
          <w:szCs w:val="28"/>
        </w:rPr>
        <w:t>年初预算执行率100%。</w:t>
      </w:r>
    </w:p>
    <w:p w:rsidR="00765B9F" w:rsidRDefault="00765B9F" w:rsidP="00EC5189">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2、</w:t>
      </w:r>
      <w:r w:rsidRPr="00765B9F">
        <w:rPr>
          <w:rFonts w:ascii="宋体" w:eastAsia="宋体" w:hAnsi="宋体"/>
          <w:color w:val="auto"/>
          <w:sz w:val="28"/>
          <w:szCs w:val="28"/>
        </w:rPr>
        <w:t>一般公共服务支出（类）财政事务（款）知识产权战略和规划（项）</w:t>
      </w:r>
    </w:p>
    <w:p w:rsidR="00765B9F" w:rsidRPr="00765B9F" w:rsidRDefault="00765B9F" w:rsidP="00765B9F">
      <w:pPr>
        <w:pStyle w:val="Default"/>
        <w:spacing w:line="360" w:lineRule="auto"/>
        <w:ind w:firstLineChars="200" w:firstLine="560"/>
        <w:rPr>
          <w:rFonts w:ascii="宋体" w:eastAsia="宋体" w:hAnsi="宋体" w:hint="default"/>
          <w:color w:val="auto"/>
          <w:sz w:val="28"/>
          <w:szCs w:val="28"/>
        </w:rPr>
      </w:pPr>
      <w:r w:rsidRPr="00765B9F">
        <w:rPr>
          <w:rFonts w:ascii="宋体" w:eastAsia="宋体" w:hAnsi="宋体"/>
          <w:color w:val="auto"/>
          <w:sz w:val="28"/>
          <w:szCs w:val="28"/>
        </w:rPr>
        <w:t>年初预算为</w:t>
      </w:r>
      <w:r>
        <w:rPr>
          <w:rFonts w:ascii="宋体" w:eastAsia="宋体" w:hAnsi="宋体"/>
          <w:color w:val="auto"/>
          <w:sz w:val="28"/>
          <w:szCs w:val="28"/>
        </w:rPr>
        <w:t>0万元，</w:t>
      </w:r>
      <w:r w:rsidRPr="00765B9F">
        <w:rPr>
          <w:rFonts w:ascii="宋体" w:eastAsia="宋体" w:hAnsi="宋体"/>
          <w:color w:val="auto"/>
          <w:sz w:val="28"/>
          <w:szCs w:val="28"/>
        </w:rPr>
        <w:t>支出决算为10.00</w:t>
      </w:r>
      <w:r>
        <w:rPr>
          <w:rFonts w:ascii="宋体" w:eastAsia="宋体" w:hAnsi="宋体"/>
          <w:color w:val="auto"/>
          <w:sz w:val="28"/>
          <w:szCs w:val="28"/>
        </w:rPr>
        <w:t>万元，</w:t>
      </w:r>
      <w:r w:rsidRPr="00765B9F">
        <w:rPr>
          <w:rFonts w:ascii="宋体" w:eastAsia="宋体" w:hAnsi="宋体"/>
          <w:color w:val="auto"/>
          <w:sz w:val="28"/>
          <w:szCs w:val="28"/>
        </w:rPr>
        <w:t>决算数大于预算数的主要原因是：该项经费于年中追加。</w:t>
      </w:r>
    </w:p>
    <w:p w:rsidR="00B87C8A" w:rsidRDefault="00765B9F" w:rsidP="00EC5189">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3</w:t>
      </w:r>
      <w:r w:rsidR="002D1C8A" w:rsidRPr="002D1C8A">
        <w:rPr>
          <w:rFonts w:ascii="宋体" w:eastAsia="宋体" w:hAnsi="宋体"/>
          <w:color w:val="auto"/>
          <w:sz w:val="28"/>
          <w:szCs w:val="28"/>
        </w:rPr>
        <w:t>、</w:t>
      </w:r>
      <w:r w:rsidR="00EC5189" w:rsidRPr="00EC5189">
        <w:rPr>
          <w:rFonts w:ascii="宋体" w:eastAsia="宋体" w:hAnsi="宋体"/>
          <w:color w:val="auto"/>
          <w:sz w:val="28"/>
          <w:szCs w:val="28"/>
        </w:rPr>
        <w:t>一般</w:t>
      </w:r>
      <w:r w:rsidR="00EC5189">
        <w:rPr>
          <w:rFonts w:ascii="宋体" w:eastAsia="宋体" w:hAnsi="宋体"/>
          <w:color w:val="auto"/>
          <w:sz w:val="28"/>
          <w:szCs w:val="28"/>
        </w:rPr>
        <w:t>公共服务支出（类）知识产权事务（款）其他知识产权事务支出（项）</w:t>
      </w:r>
    </w:p>
    <w:p w:rsidR="00B87C8A"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lastRenderedPageBreak/>
        <w:t>年初预算为</w:t>
      </w:r>
      <w:r w:rsidR="00765B9F" w:rsidRPr="00765B9F">
        <w:rPr>
          <w:rFonts w:ascii="宋体" w:eastAsia="宋体" w:hAnsi="宋体"/>
          <w:color w:val="auto"/>
          <w:sz w:val="28"/>
          <w:szCs w:val="28"/>
        </w:rPr>
        <w:t>0.50</w:t>
      </w:r>
      <w:r w:rsidRPr="00EC5189">
        <w:rPr>
          <w:rFonts w:ascii="宋体" w:eastAsia="宋体" w:hAnsi="宋体"/>
          <w:color w:val="auto"/>
          <w:sz w:val="28"/>
          <w:szCs w:val="28"/>
        </w:rPr>
        <w:t>万元，支出决算为</w:t>
      </w:r>
      <w:r w:rsidR="00765B9F" w:rsidRPr="00765B9F">
        <w:rPr>
          <w:rFonts w:ascii="宋体" w:eastAsia="宋体" w:hAnsi="宋体"/>
          <w:color w:val="auto"/>
          <w:sz w:val="28"/>
          <w:szCs w:val="28"/>
        </w:rPr>
        <w:t>0.50</w:t>
      </w:r>
      <w:r w:rsidR="009B01C2">
        <w:rPr>
          <w:rFonts w:ascii="宋体" w:eastAsia="宋体" w:hAnsi="宋体"/>
          <w:color w:val="auto"/>
          <w:sz w:val="28"/>
          <w:szCs w:val="28"/>
        </w:rPr>
        <w:t>万元，</w:t>
      </w:r>
      <w:r w:rsidR="00765B9F" w:rsidRPr="00765B9F">
        <w:rPr>
          <w:rFonts w:ascii="宋体" w:eastAsia="宋体" w:hAnsi="宋体"/>
          <w:color w:val="auto"/>
          <w:sz w:val="28"/>
          <w:szCs w:val="28"/>
        </w:rPr>
        <w:t>年初预算执行率100%。</w:t>
      </w:r>
    </w:p>
    <w:p w:rsidR="00B87C8A" w:rsidRPr="002D1C8A" w:rsidRDefault="00765B9F">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4</w:t>
      </w:r>
      <w:r w:rsidR="002D1C8A" w:rsidRPr="002D1C8A">
        <w:rPr>
          <w:rFonts w:ascii="宋体" w:eastAsia="宋体" w:hAnsi="宋体"/>
          <w:color w:val="auto"/>
          <w:sz w:val="28"/>
          <w:szCs w:val="28"/>
        </w:rPr>
        <w:t>、</w:t>
      </w:r>
      <w:r w:rsidR="00EC5189">
        <w:rPr>
          <w:rFonts w:ascii="宋体" w:eastAsia="宋体" w:hAnsi="宋体"/>
          <w:color w:val="auto"/>
          <w:sz w:val="28"/>
          <w:szCs w:val="28"/>
        </w:rPr>
        <w:t>一般公共服务支出（类）民族事务（款）民族工作专项（项）</w:t>
      </w:r>
    </w:p>
    <w:p w:rsidR="00B87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00765B9F" w:rsidRPr="00765B9F">
        <w:rPr>
          <w:rFonts w:ascii="宋体" w:eastAsia="宋体" w:hAnsi="宋体"/>
          <w:color w:val="auto"/>
          <w:sz w:val="28"/>
          <w:szCs w:val="28"/>
        </w:rPr>
        <w:t>22.00</w:t>
      </w:r>
      <w:r w:rsidRPr="00EC5189">
        <w:rPr>
          <w:rFonts w:ascii="宋体" w:eastAsia="宋体" w:hAnsi="宋体"/>
          <w:color w:val="auto"/>
          <w:sz w:val="28"/>
          <w:szCs w:val="28"/>
        </w:rPr>
        <w:t>万元，决算数大于预算数的</w:t>
      </w:r>
      <w:r w:rsidRPr="005832F9">
        <w:rPr>
          <w:rFonts w:ascii="宋体" w:eastAsia="宋体" w:hAnsi="宋体"/>
          <w:color w:val="000000" w:themeColor="text1"/>
          <w:sz w:val="28"/>
          <w:szCs w:val="28"/>
        </w:rPr>
        <w:t>主要原因</w:t>
      </w:r>
      <w:r w:rsidRPr="00EC5189">
        <w:rPr>
          <w:rFonts w:ascii="宋体" w:eastAsia="宋体" w:hAnsi="宋体"/>
          <w:color w:val="auto"/>
          <w:sz w:val="28"/>
          <w:szCs w:val="28"/>
        </w:rPr>
        <w:t>是</w:t>
      </w:r>
      <w:r w:rsidR="002D1C8A" w:rsidRPr="002D1C8A">
        <w:rPr>
          <w:rFonts w:ascii="宋体" w:eastAsia="宋体" w:hAnsi="宋体"/>
          <w:color w:val="auto"/>
          <w:sz w:val="28"/>
          <w:szCs w:val="28"/>
        </w:rPr>
        <w:t>：该项经费于年中追加。</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5</w:t>
      </w:r>
      <w:r w:rsidR="002D1C8A" w:rsidRPr="002D1C8A">
        <w:rPr>
          <w:rFonts w:ascii="宋体" w:eastAsia="宋体" w:hAnsi="宋体"/>
          <w:color w:val="auto"/>
          <w:sz w:val="28"/>
          <w:szCs w:val="28"/>
        </w:rPr>
        <w:t>、</w:t>
      </w:r>
      <w:r w:rsidR="00EC5189">
        <w:rPr>
          <w:rFonts w:ascii="宋体" w:eastAsia="宋体" w:hAnsi="宋体"/>
          <w:color w:val="auto"/>
          <w:sz w:val="28"/>
          <w:szCs w:val="28"/>
        </w:rPr>
        <w:t>教育支出（类）普通教育（款）高等教育（项）</w:t>
      </w:r>
    </w:p>
    <w:p w:rsidR="00DC5B65"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w:t>
      </w:r>
      <w:r w:rsidR="00765B9F" w:rsidRPr="00765B9F">
        <w:rPr>
          <w:rFonts w:ascii="宋体" w:eastAsia="宋体" w:hAnsi="宋体"/>
          <w:color w:val="auto"/>
          <w:sz w:val="28"/>
          <w:szCs w:val="28"/>
        </w:rPr>
        <w:t>35,278.67</w:t>
      </w:r>
      <w:r w:rsidRPr="00EC5189">
        <w:rPr>
          <w:rFonts w:ascii="宋体" w:eastAsia="宋体" w:hAnsi="宋体"/>
          <w:color w:val="auto"/>
          <w:sz w:val="28"/>
          <w:szCs w:val="28"/>
        </w:rPr>
        <w:t>万元，支出决算为</w:t>
      </w:r>
      <w:r w:rsidR="00765B9F" w:rsidRPr="00765B9F">
        <w:rPr>
          <w:rFonts w:ascii="宋体" w:eastAsia="宋体" w:hAnsi="宋体"/>
          <w:color w:val="auto"/>
          <w:sz w:val="28"/>
          <w:szCs w:val="28"/>
        </w:rPr>
        <w:t>50,165.80</w:t>
      </w:r>
      <w:r w:rsidR="009D5B68">
        <w:rPr>
          <w:rFonts w:ascii="宋体" w:eastAsia="宋体" w:hAnsi="宋体"/>
          <w:color w:val="auto"/>
          <w:sz w:val="28"/>
          <w:szCs w:val="28"/>
        </w:rPr>
        <w:t>万元</w:t>
      </w:r>
      <w:r>
        <w:rPr>
          <w:rFonts w:ascii="宋体" w:eastAsia="宋体" w:hAnsi="宋体"/>
          <w:color w:val="auto"/>
          <w:sz w:val="28"/>
          <w:szCs w:val="28"/>
        </w:rPr>
        <w:t>。</w:t>
      </w:r>
      <w:r w:rsidRPr="0052056A">
        <w:rPr>
          <w:rFonts w:ascii="宋体" w:eastAsia="宋体" w:hAnsi="宋体"/>
          <w:color w:val="000000" w:themeColor="text1"/>
          <w:sz w:val="28"/>
          <w:szCs w:val="28"/>
        </w:rPr>
        <w:t>决算数大于预算数的主要原因</w:t>
      </w:r>
      <w:r w:rsidR="002D1C8A" w:rsidRPr="0052056A">
        <w:rPr>
          <w:rFonts w:ascii="宋体" w:eastAsia="宋体" w:hAnsi="宋体"/>
          <w:color w:val="000000" w:themeColor="text1"/>
          <w:sz w:val="28"/>
          <w:szCs w:val="28"/>
        </w:rPr>
        <w:t>是</w:t>
      </w:r>
      <w:r w:rsidR="002D1C8A" w:rsidRPr="002D1C8A">
        <w:rPr>
          <w:rFonts w:ascii="宋体" w:eastAsia="宋体" w:hAnsi="宋体"/>
          <w:color w:val="auto"/>
          <w:sz w:val="28"/>
          <w:szCs w:val="28"/>
        </w:rPr>
        <w:t>：</w:t>
      </w:r>
      <w:r w:rsidR="00DC5B65">
        <w:rPr>
          <w:rFonts w:ascii="宋体" w:eastAsia="宋体" w:hAnsi="宋体"/>
          <w:color w:val="auto"/>
          <w:sz w:val="28"/>
          <w:szCs w:val="28"/>
        </w:rPr>
        <w:t>年中追加</w:t>
      </w:r>
      <w:r w:rsidR="00DC5B65" w:rsidRPr="00DC5B65">
        <w:rPr>
          <w:rFonts w:ascii="宋体" w:eastAsia="宋体" w:hAnsi="宋体"/>
          <w:color w:val="auto"/>
          <w:sz w:val="28"/>
          <w:szCs w:val="28"/>
        </w:rPr>
        <w:t>“十四五”基建专项</w:t>
      </w:r>
      <w:r w:rsidR="00DC5B65">
        <w:rPr>
          <w:rFonts w:ascii="宋体" w:eastAsia="宋体" w:hAnsi="宋体"/>
          <w:color w:val="auto"/>
          <w:sz w:val="28"/>
          <w:szCs w:val="28"/>
        </w:rPr>
        <w:t>、</w:t>
      </w:r>
      <w:r w:rsidR="009A48B7" w:rsidRPr="009A48B7">
        <w:rPr>
          <w:rFonts w:ascii="宋体" w:eastAsia="宋体" w:hAnsi="宋体"/>
          <w:color w:val="auto"/>
          <w:sz w:val="28"/>
          <w:szCs w:val="28"/>
        </w:rPr>
        <w:t>中央支持地方高校建设专项、高校学生奖助学金、应征入伍学生资助及其他财政专项经费。</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6</w:t>
      </w:r>
      <w:r w:rsidR="002D1C8A" w:rsidRPr="002D1C8A">
        <w:rPr>
          <w:rFonts w:ascii="宋体" w:eastAsia="宋体" w:hAnsi="宋体"/>
          <w:color w:val="auto"/>
          <w:sz w:val="28"/>
          <w:szCs w:val="28"/>
        </w:rPr>
        <w:t>、</w:t>
      </w:r>
      <w:r w:rsidR="00EC5189">
        <w:rPr>
          <w:rFonts w:ascii="宋体" w:eastAsia="宋体" w:hAnsi="宋体"/>
          <w:color w:val="auto"/>
          <w:sz w:val="28"/>
          <w:szCs w:val="28"/>
        </w:rPr>
        <w:t>科学技术支出（类）基础研究（款）自然科学基金（项）</w:t>
      </w:r>
    </w:p>
    <w:p w:rsidR="00B87C8A"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105.00</w:t>
      </w:r>
      <w:r w:rsidRPr="00EC5189">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w:t>
      </w:r>
      <w:r w:rsidRPr="00EC5189">
        <w:rPr>
          <w:rFonts w:ascii="宋体" w:eastAsia="宋体" w:hAnsi="宋体"/>
          <w:color w:val="auto"/>
          <w:sz w:val="28"/>
          <w:szCs w:val="28"/>
        </w:rPr>
        <w:t>是</w:t>
      </w:r>
      <w:r w:rsidR="002D1C8A" w:rsidRPr="002D1C8A">
        <w:rPr>
          <w:rFonts w:ascii="宋体" w:eastAsia="宋体" w:hAnsi="宋体"/>
          <w:color w:val="auto"/>
          <w:sz w:val="28"/>
          <w:szCs w:val="28"/>
        </w:rPr>
        <w:t>：该项经费于年中追加。</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7</w:t>
      </w:r>
      <w:r w:rsidR="002D1C8A" w:rsidRPr="002D1C8A">
        <w:rPr>
          <w:rFonts w:ascii="宋体" w:eastAsia="宋体" w:hAnsi="宋体"/>
          <w:color w:val="auto"/>
          <w:sz w:val="28"/>
          <w:szCs w:val="28"/>
        </w:rPr>
        <w:t>、</w:t>
      </w:r>
      <w:r w:rsidR="00EC5189" w:rsidRPr="00EC5189">
        <w:rPr>
          <w:rFonts w:ascii="宋体" w:eastAsia="宋体" w:hAnsi="宋体"/>
          <w:color w:val="auto"/>
          <w:sz w:val="28"/>
          <w:szCs w:val="28"/>
        </w:rPr>
        <w:t>科学技术</w:t>
      </w:r>
      <w:r w:rsidR="00EC5189">
        <w:rPr>
          <w:rFonts w:ascii="宋体" w:eastAsia="宋体" w:hAnsi="宋体"/>
          <w:color w:val="auto"/>
          <w:sz w:val="28"/>
          <w:szCs w:val="28"/>
        </w:rPr>
        <w:t>支出（类）科技条件与服务（款）其他科技条件与服务支出（项）</w:t>
      </w:r>
    </w:p>
    <w:p w:rsidR="00B87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40.00</w:t>
      </w:r>
      <w:r w:rsidRPr="00EC5189">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002D1C8A" w:rsidRPr="002D1C8A">
        <w:rPr>
          <w:rFonts w:ascii="宋体" w:eastAsia="宋体" w:hAnsi="宋体"/>
          <w:color w:val="auto"/>
          <w:sz w:val="28"/>
          <w:szCs w:val="28"/>
        </w:rPr>
        <w:t>：该项经费于年中追加。</w:t>
      </w:r>
    </w:p>
    <w:p w:rsidR="009D5B68" w:rsidRDefault="009D5B68" w:rsidP="00EC5189">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8、科学技术支出（类）社会科学（款）</w:t>
      </w:r>
      <w:r w:rsidRPr="009D5B68">
        <w:rPr>
          <w:rFonts w:ascii="宋体" w:eastAsia="宋体" w:hAnsi="宋体"/>
          <w:color w:val="auto"/>
          <w:sz w:val="28"/>
          <w:szCs w:val="28"/>
        </w:rPr>
        <w:t>社科基金支出</w:t>
      </w:r>
      <w:r>
        <w:rPr>
          <w:rFonts w:ascii="宋体" w:eastAsia="宋体" w:hAnsi="宋体"/>
          <w:color w:val="auto"/>
          <w:sz w:val="28"/>
          <w:szCs w:val="28"/>
        </w:rPr>
        <w:t>（项）</w:t>
      </w:r>
    </w:p>
    <w:p w:rsidR="009D5B68" w:rsidRPr="009D5B68" w:rsidRDefault="009D5B68" w:rsidP="009D5B68">
      <w:pPr>
        <w:pStyle w:val="Default"/>
        <w:spacing w:line="360" w:lineRule="auto"/>
        <w:ind w:firstLineChars="200" w:firstLine="560"/>
        <w:rPr>
          <w:rFonts w:ascii="宋体" w:eastAsia="宋体" w:hAnsi="宋体" w:hint="default"/>
          <w:color w:val="auto"/>
          <w:sz w:val="28"/>
          <w:szCs w:val="28"/>
        </w:rPr>
      </w:pPr>
      <w:r w:rsidRPr="009D5B68">
        <w:rPr>
          <w:rFonts w:ascii="宋体" w:eastAsia="宋体" w:hAnsi="宋体"/>
          <w:color w:val="auto"/>
          <w:sz w:val="28"/>
          <w:szCs w:val="28"/>
        </w:rPr>
        <w:t>年初预算为48.20万元，支出决算为115.20万元，决算数大于预算数的主要原因是：该项经费于年中追加。</w:t>
      </w:r>
    </w:p>
    <w:p w:rsidR="00B87C8A" w:rsidRDefault="009D5B68">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9</w:t>
      </w:r>
      <w:r w:rsidR="002D1C8A" w:rsidRPr="002D1C8A">
        <w:rPr>
          <w:rFonts w:ascii="宋体" w:eastAsia="宋体" w:hAnsi="宋体"/>
          <w:color w:val="auto"/>
          <w:sz w:val="28"/>
          <w:szCs w:val="28"/>
        </w:rPr>
        <w:t>、</w:t>
      </w:r>
      <w:r w:rsidR="00EC5189">
        <w:rPr>
          <w:rFonts w:ascii="宋体" w:eastAsia="宋体" w:hAnsi="宋体"/>
          <w:color w:val="auto"/>
          <w:sz w:val="28"/>
          <w:szCs w:val="28"/>
        </w:rPr>
        <w:t>科学技术支出（类）社会科学（款）其他社会科学支出（项）</w:t>
      </w:r>
    </w:p>
    <w:p w:rsidR="00EC5189"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77.00</w:t>
      </w:r>
      <w:r w:rsidRPr="00EC5189">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w:t>
      </w:r>
      <w:r w:rsidRPr="00EC5189">
        <w:rPr>
          <w:rFonts w:ascii="宋体" w:eastAsia="宋体" w:hAnsi="宋体"/>
          <w:color w:val="auto"/>
          <w:sz w:val="28"/>
          <w:szCs w:val="28"/>
        </w:rPr>
        <w:t>是</w:t>
      </w:r>
      <w:r>
        <w:rPr>
          <w:rFonts w:ascii="宋体" w:eastAsia="宋体" w:hAnsi="宋体"/>
          <w:color w:val="auto"/>
          <w:sz w:val="28"/>
          <w:szCs w:val="28"/>
        </w:rPr>
        <w:t>：</w:t>
      </w:r>
      <w:r w:rsidR="004B40B1" w:rsidRPr="002D1C8A">
        <w:rPr>
          <w:rFonts w:ascii="宋体" w:eastAsia="宋体" w:hAnsi="宋体"/>
          <w:color w:val="auto"/>
          <w:sz w:val="28"/>
          <w:szCs w:val="28"/>
        </w:rPr>
        <w:t>该项经费于年中追加。</w:t>
      </w:r>
    </w:p>
    <w:p w:rsidR="009D5B68" w:rsidRPr="002D1C8A" w:rsidRDefault="009D5B68" w:rsidP="009D5B68">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10、科学技术支出（类）科学技术普及（款）</w:t>
      </w:r>
      <w:r w:rsidRPr="009D5B68">
        <w:rPr>
          <w:rFonts w:ascii="宋体" w:eastAsia="宋体" w:hAnsi="宋体"/>
          <w:color w:val="auto"/>
          <w:sz w:val="28"/>
          <w:szCs w:val="28"/>
        </w:rPr>
        <w:t>科普活动</w:t>
      </w:r>
      <w:r>
        <w:rPr>
          <w:rFonts w:ascii="宋体" w:eastAsia="宋体" w:hAnsi="宋体"/>
          <w:color w:val="auto"/>
          <w:sz w:val="28"/>
          <w:szCs w:val="28"/>
        </w:rPr>
        <w:t>（项）</w:t>
      </w:r>
    </w:p>
    <w:p w:rsidR="009D5B68" w:rsidRDefault="009D5B68" w:rsidP="009D5B68">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Pr="009D5B68">
        <w:rPr>
          <w:rFonts w:ascii="宋体" w:eastAsia="宋体" w:hAnsi="宋体"/>
          <w:color w:val="auto"/>
          <w:sz w:val="28"/>
          <w:szCs w:val="28"/>
        </w:rPr>
        <w:t>10.00</w:t>
      </w:r>
      <w:r w:rsidRPr="00EC5189">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w:t>
      </w:r>
      <w:r w:rsidRPr="0052056A">
        <w:rPr>
          <w:rFonts w:ascii="宋体" w:eastAsia="宋体" w:hAnsi="宋体"/>
          <w:color w:val="000000" w:themeColor="text1"/>
          <w:sz w:val="28"/>
          <w:szCs w:val="28"/>
        </w:rPr>
        <w:lastRenderedPageBreak/>
        <w:t>要原因是：</w:t>
      </w:r>
      <w:r w:rsidRPr="002D1C8A">
        <w:rPr>
          <w:rFonts w:ascii="宋体" w:eastAsia="宋体" w:hAnsi="宋体"/>
          <w:color w:val="auto"/>
          <w:sz w:val="28"/>
          <w:szCs w:val="28"/>
        </w:rPr>
        <w:t>该项经费于年中追加。</w:t>
      </w:r>
    </w:p>
    <w:p w:rsidR="009D5B68" w:rsidRPr="002D1C8A" w:rsidRDefault="009D5B68" w:rsidP="009D5B68">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11、科学技术支出（类）科学技术普及（款）</w:t>
      </w:r>
      <w:r w:rsidRPr="009D5B68">
        <w:rPr>
          <w:rFonts w:ascii="宋体" w:eastAsia="宋体" w:hAnsi="宋体"/>
          <w:color w:val="auto"/>
          <w:sz w:val="28"/>
          <w:szCs w:val="28"/>
        </w:rPr>
        <w:t>学术交流活动</w:t>
      </w:r>
      <w:r>
        <w:rPr>
          <w:rFonts w:ascii="宋体" w:eastAsia="宋体" w:hAnsi="宋体"/>
          <w:color w:val="auto"/>
          <w:sz w:val="28"/>
          <w:szCs w:val="28"/>
        </w:rPr>
        <w:t>（项）</w:t>
      </w:r>
    </w:p>
    <w:p w:rsidR="009D5B68" w:rsidRPr="009D5B68" w:rsidRDefault="009D5B68" w:rsidP="009D5B68">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Pr="009D5B68">
        <w:rPr>
          <w:rFonts w:ascii="宋体" w:eastAsia="宋体" w:hAnsi="宋体"/>
          <w:color w:val="auto"/>
          <w:sz w:val="28"/>
          <w:szCs w:val="28"/>
        </w:rPr>
        <w:t>10.00</w:t>
      </w:r>
      <w:r w:rsidRPr="00EC5189">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Pr="002D1C8A">
        <w:rPr>
          <w:rFonts w:ascii="宋体" w:eastAsia="宋体" w:hAnsi="宋体"/>
          <w:color w:val="auto"/>
          <w:sz w:val="28"/>
          <w:szCs w:val="28"/>
        </w:rPr>
        <w:t>该项经费于年中追加。</w:t>
      </w:r>
    </w:p>
    <w:p w:rsidR="00B87C8A" w:rsidRPr="002D1C8A" w:rsidRDefault="009D5B68" w:rsidP="00EC5189">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12</w:t>
      </w:r>
      <w:r w:rsidR="002D1C8A" w:rsidRPr="002D1C8A">
        <w:rPr>
          <w:rFonts w:ascii="宋体" w:eastAsia="宋体" w:hAnsi="宋体"/>
          <w:color w:val="auto"/>
          <w:sz w:val="28"/>
          <w:szCs w:val="28"/>
        </w:rPr>
        <w:t>、</w:t>
      </w:r>
      <w:r w:rsidR="00EC5189">
        <w:rPr>
          <w:rFonts w:ascii="宋体" w:eastAsia="宋体" w:hAnsi="宋体"/>
          <w:color w:val="auto"/>
          <w:sz w:val="28"/>
          <w:szCs w:val="28"/>
        </w:rPr>
        <w:t>科学技术支出（类）科学技术普及（款）其他科学技术普及支出（项）</w:t>
      </w:r>
    </w:p>
    <w:p w:rsidR="00B87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6.00</w:t>
      </w:r>
      <w:r w:rsidRPr="00EC5189">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002D1C8A" w:rsidRPr="0052056A">
        <w:rPr>
          <w:rFonts w:ascii="宋体" w:eastAsia="宋体" w:hAnsi="宋体"/>
          <w:color w:val="000000" w:themeColor="text1"/>
          <w:sz w:val="28"/>
          <w:szCs w:val="28"/>
        </w:rPr>
        <w:t>：</w:t>
      </w:r>
      <w:r w:rsidR="002D1C8A" w:rsidRPr="002D1C8A">
        <w:rPr>
          <w:rFonts w:ascii="宋体" w:eastAsia="宋体" w:hAnsi="宋体"/>
          <w:color w:val="auto"/>
          <w:sz w:val="28"/>
          <w:szCs w:val="28"/>
        </w:rPr>
        <w:t>该项经费于年中追加。</w:t>
      </w:r>
    </w:p>
    <w:p w:rsidR="009D5B68" w:rsidRPr="002D1C8A" w:rsidRDefault="009D5B68" w:rsidP="009D5B68">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13</w:t>
      </w:r>
      <w:r w:rsidRPr="002D1C8A">
        <w:rPr>
          <w:rFonts w:ascii="宋体" w:eastAsia="宋体" w:hAnsi="宋体"/>
          <w:color w:val="auto"/>
          <w:sz w:val="28"/>
          <w:szCs w:val="28"/>
        </w:rPr>
        <w:t>、</w:t>
      </w:r>
      <w:r>
        <w:rPr>
          <w:rFonts w:ascii="宋体" w:eastAsia="宋体" w:hAnsi="宋体"/>
          <w:color w:val="auto"/>
          <w:sz w:val="28"/>
          <w:szCs w:val="28"/>
        </w:rPr>
        <w:t>科学技术支出（类）</w:t>
      </w:r>
      <w:r w:rsidRPr="009D5B68">
        <w:rPr>
          <w:rFonts w:ascii="宋体" w:eastAsia="宋体" w:hAnsi="宋体"/>
          <w:color w:val="auto"/>
          <w:sz w:val="28"/>
          <w:szCs w:val="28"/>
        </w:rPr>
        <w:t>其他科学技术支出</w:t>
      </w:r>
      <w:r>
        <w:rPr>
          <w:rFonts w:ascii="宋体" w:eastAsia="宋体" w:hAnsi="宋体"/>
          <w:color w:val="auto"/>
          <w:sz w:val="28"/>
          <w:szCs w:val="28"/>
        </w:rPr>
        <w:t>（款）</w:t>
      </w:r>
      <w:r w:rsidRPr="009D5B68">
        <w:rPr>
          <w:rFonts w:ascii="宋体" w:eastAsia="宋体" w:hAnsi="宋体"/>
          <w:color w:val="auto"/>
          <w:sz w:val="28"/>
          <w:szCs w:val="28"/>
        </w:rPr>
        <w:t>科技奖励</w:t>
      </w:r>
      <w:r>
        <w:rPr>
          <w:rFonts w:ascii="宋体" w:eastAsia="宋体" w:hAnsi="宋体"/>
          <w:color w:val="auto"/>
          <w:sz w:val="28"/>
          <w:szCs w:val="28"/>
        </w:rPr>
        <w:t>（项）</w:t>
      </w:r>
    </w:p>
    <w:p w:rsidR="009D5B68" w:rsidRPr="009D5B68" w:rsidRDefault="009D5B68" w:rsidP="009D5B68">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w:t>
      </w:r>
      <w:r w:rsidRPr="009D5B68">
        <w:rPr>
          <w:rFonts w:ascii="宋体" w:eastAsia="宋体" w:hAnsi="宋体"/>
          <w:color w:val="auto"/>
          <w:sz w:val="28"/>
          <w:szCs w:val="28"/>
        </w:rPr>
        <w:t>25.00</w:t>
      </w:r>
      <w:r w:rsidRPr="00AD5EDE">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Pr="002D1C8A">
        <w:rPr>
          <w:rFonts w:ascii="宋体" w:eastAsia="宋体" w:hAnsi="宋体"/>
          <w:color w:val="auto"/>
          <w:sz w:val="28"/>
          <w:szCs w:val="28"/>
        </w:rPr>
        <w:t>该项经费于年中追加。</w:t>
      </w:r>
    </w:p>
    <w:p w:rsidR="00B87C8A" w:rsidRPr="009D5B68" w:rsidRDefault="00AD5EDE" w:rsidP="009D5B68">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1</w:t>
      </w:r>
      <w:r w:rsidR="009D5B68">
        <w:rPr>
          <w:rFonts w:ascii="宋体" w:eastAsia="宋体" w:hAnsi="宋体"/>
          <w:color w:val="auto"/>
          <w:sz w:val="28"/>
          <w:szCs w:val="28"/>
        </w:rPr>
        <w:t>4</w:t>
      </w:r>
      <w:r w:rsidR="002D1C8A" w:rsidRPr="002D1C8A">
        <w:rPr>
          <w:rFonts w:ascii="宋体" w:eastAsia="宋体" w:hAnsi="宋体"/>
          <w:color w:val="auto"/>
          <w:sz w:val="28"/>
          <w:szCs w:val="28"/>
        </w:rPr>
        <w:t>、</w:t>
      </w:r>
      <w:r w:rsidR="009D5B68">
        <w:rPr>
          <w:rFonts w:ascii="宋体" w:eastAsia="宋体" w:hAnsi="宋体"/>
          <w:color w:val="auto"/>
          <w:sz w:val="28"/>
          <w:szCs w:val="28"/>
        </w:rPr>
        <w:t>科学技术支出（类）</w:t>
      </w:r>
      <w:r w:rsidR="009D5B68" w:rsidRPr="009D5B68">
        <w:rPr>
          <w:rFonts w:ascii="宋体" w:eastAsia="宋体" w:hAnsi="宋体"/>
          <w:color w:val="auto"/>
          <w:sz w:val="28"/>
          <w:szCs w:val="28"/>
        </w:rPr>
        <w:t>其他科学技术支出</w:t>
      </w:r>
      <w:r w:rsidR="009D5B68">
        <w:rPr>
          <w:rFonts w:ascii="宋体" w:eastAsia="宋体" w:hAnsi="宋体"/>
          <w:color w:val="auto"/>
          <w:sz w:val="28"/>
          <w:szCs w:val="28"/>
        </w:rPr>
        <w:t>（款）</w:t>
      </w:r>
      <w:r w:rsidR="009D5B68" w:rsidRPr="009D5B68">
        <w:rPr>
          <w:rFonts w:ascii="宋体" w:eastAsia="宋体" w:hAnsi="宋体"/>
          <w:color w:val="auto"/>
          <w:sz w:val="28"/>
          <w:szCs w:val="28"/>
        </w:rPr>
        <w:t>其他科学技术支出</w:t>
      </w:r>
      <w:r w:rsidR="009D5B68">
        <w:rPr>
          <w:rFonts w:ascii="宋体" w:eastAsia="宋体" w:hAnsi="宋体"/>
          <w:color w:val="auto"/>
          <w:sz w:val="28"/>
          <w:szCs w:val="28"/>
        </w:rPr>
        <w:t>（项）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10.00</w:t>
      </w:r>
      <w:r w:rsidRPr="00AD5EDE">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004B40B1" w:rsidRPr="002D1C8A">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9D5B68">
        <w:rPr>
          <w:rFonts w:ascii="宋体" w:eastAsia="宋体" w:hAnsi="宋体"/>
          <w:color w:val="auto"/>
          <w:sz w:val="28"/>
          <w:szCs w:val="28"/>
        </w:rPr>
        <w:t>5</w:t>
      </w:r>
      <w:r w:rsidRPr="002D1C8A">
        <w:rPr>
          <w:rFonts w:ascii="宋体" w:eastAsia="宋体" w:hAnsi="宋体"/>
          <w:color w:val="auto"/>
          <w:sz w:val="28"/>
          <w:szCs w:val="28"/>
        </w:rPr>
        <w:t>、</w:t>
      </w:r>
      <w:r w:rsidR="00AD5EDE" w:rsidRPr="00AD5EDE">
        <w:rPr>
          <w:rFonts w:ascii="宋体" w:eastAsia="宋体" w:hAnsi="宋体"/>
          <w:color w:val="auto"/>
          <w:sz w:val="28"/>
          <w:szCs w:val="28"/>
        </w:rPr>
        <w:t>文</w:t>
      </w:r>
      <w:r w:rsidR="00AD5EDE">
        <w:rPr>
          <w:rFonts w:ascii="宋体" w:eastAsia="宋体" w:hAnsi="宋体"/>
          <w:color w:val="auto"/>
          <w:sz w:val="28"/>
          <w:szCs w:val="28"/>
        </w:rPr>
        <w:t>化旅游体育与传媒支出（类）文化和旅游（款）文化创作与保护（项）</w:t>
      </w:r>
    </w:p>
    <w:p w:rsidR="00B87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45.00</w:t>
      </w:r>
      <w:r w:rsidRPr="00AD5EDE">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004B40B1">
        <w:rPr>
          <w:rFonts w:ascii="宋体" w:eastAsia="宋体" w:hAnsi="宋体"/>
          <w:color w:val="auto"/>
          <w:sz w:val="28"/>
          <w:szCs w:val="28"/>
        </w:rPr>
        <w:t>：</w:t>
      </w:r>
      <w:r w:rsidR="004B40B1" w:rsidRPr="004B40B1">
        <w:rPr>
          <w:rFonts w:ascii="宋体" w:eastAsia="宋体" w:hAnsi="宋体"/>
          <w:color w:val="auto"/>
          <w:sz w:val="28"/>
          <w:szCs w:val="28"/>
        </w:rPr>
        <w:t>该项经费于年中追加。</w:t>
      </w:r>
    </w:p>
    <w:p w:rsidR="009D5B68" w:rsidRPr="002D1C8A" w:rsidRDefault="009D5B68" w:rsidP="009D5B68">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Pr>
          <w:rFonts w:ascii="宋体" w:eastAsia="宋体" w:hAnsi="宋体"/>
          <w:color w:val="auto"/>
          <w:sz w:val="28"/>
          <w:szCs w:val="28"/>
        </w:rPr>
        <w:t>6</w:t>
      </w:r>
      <w:r w:rsidRPr="002D1C8A">
        <w:rPr>
          <w:rFonts w:ascii="宋体" w:eastAsia="宋体" w:hAnsi="宋体"/>
          <w:color w:val="auto"/>
          <w:sz w:val="28"/>
          <w:szCs w:val="28"/>
        </w:rPr>
        <w:t>、</w:t>
      </w:r>
      <w:r w:rsidRPr="00AD5EDE">
        <w:rPr>
          <w:rFonts w:ascii="宋体" w:eastAsia="宋体" w:hAnsi="宋体"/>
          <w:color w:val="auto"/>
          <w:sz w:val="28"/>
          <w:szCs w:val="28"/>
        </w:rPr>
        <w:t>文</w:t>
      </w:r>
      <w:r>
        <w:rPr>
          <w:rFonts w:ascii="宋体" w:eastAsia="宋体" w:hAnsi="宋体"/>
          <w:color w:val="auto"/>
          <w:sz w:val="28"/>
          <w:szCs w:val="28"/>
        </w:rPr>
        <w:t>化旅游体育与传媒支出（类）</w:t>
      </w:r>
      <w:r w:rsidRPr="009D5B68">
        <w:rPr>
          <w:rFonts w:ascii="宋体" w:eastAsia="宋体" w:hAnsi="宋体"/>
          <w:color w:val="auto"/>
          <w:sz w:val="28"/>
          <w:szCs w:val="28"/>
        </w:rPr>
        <w:t>其他文化旅游体育与传媒支出</w:t>
      </w:r>
      <w:r>
        <w:rPr>
          <w:rFonts w:ascii="宋体" w:eastAsia="宋体" w:hAnsi="宋体"/>
          <w:color w:val="auto"/>
          <w:sz w:val="28"/>
          <w:szCs w:val="28"/>
        </w:rPr>
        <w:t>（款）</w:t>
      </w:r>
      <w:r w:rsidRPr="009D5B68">
        <w:rPr>
          <w:rFonts w:ascii="宋体" w:eastAsia="宋体" w:hAnsi="宋体"/>
          <w:color w:val="auto"/>
          <w:sz w:val="28"/>
          <w:szCs w:val="28"/>
        </w:rPr>
        <w:t>其他文化旅游体育与传媒支出</w:t>
      </w:r>
      <w:r>
        <w:rPr>
          <w:rFonts w:ascii="宋体" w:eastAsia="宋体" w:hAnsi="宋体"/>
          <w:color w:val="auto"/>
          <w:sz w:val="28"/>
          <w:szCs w:val="28"/>
        </w:rPr>
        <w:t>（项）</w:t>
      </w:r>
    </w:p>
    <w:p w:rsidR="009D5B68" w:rsidRPr="009D5B68" w:rsidRDefault="009D5B68" w:rsidP="009D5B68">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w:t>
      </w:r>
      <w:r w:rsidRPr="009D5B68">
        <w:rPr>
          <w:rFonts w:ascii="宋体" w:eastAsia="宋体" w:hAnsi="宋体"/>
          <w:color w:val="auto"/>
          <w:sz w:val="28"/>
          <w:szCs w:val="28"/>
        </w:rPr>
        <w:t>5.00</w:t>
      </w:r>
      <w:r w:rsidRPr="00AD5EDE">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Pr>
          <w:rFonts w:ascii="宋体" w:eastAsia="宋体" w:hAnsi="宋体"/>
          <w:color w:val="auto"/>
          <w:sz w:val="28"/>
          <w:szCs w:val="28"/>
        </w:rPr>
        <w:t>：</w:t>
      </w:r>
      <w:r w:rsidRPr="004B40B1">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9D5B68">
        <w:rPr>
          <w:rFonts w:ascii="宋体" w:eastAsia="宋体" w:hAnsi="宋体"/>
          <w:color w:val="auto"/>
          <w:sz w:val="28"/>
          <w:szCs w:val="28"/>
        </w:rPr>
        <w:t>7</w:t>
      </w:r>
      <w:r w:rsidRPr="002D1C8A">
        <w:rPr>
          <w:rFonts w:ascii="宋体" w:eastAsia="宋体" w:hAnsi="宋体"/>
          <w:color w:val="auto"/>
          <w:sz w:val="28"/>
          <w:szCs w:val="28"/>
        </w:rPr>
        <w:t>、</w:t>
      </w:r>
      <w:r w:rsidR="00AD5EDE">
        <w:rPr>
          <w:rFonts w:ascii="宋体" w:eastAsia="宋体" w:hAnsi="宋体"/>
          <w:color w:val="auto"/>
          <w:sz w:val="28"/>
          <w:szCs w:val="28"/>
        </w:rPr>
        <w:t>社会保障和就业支出（类）就业补助（款）其他就业补助支出</w:t>
      </w:r>
      <w:r w:rsidR="00AD5EDE">
        <w:rPr>
          <w:rFonts w:ascii="宋体" w:eastAsia="宋体" w:hAnsi="宋体"/>
          <w:color w:val="auto"/>
          <w:sz w:val="28"/>
          <w:szCs w:val="28"/>
        </w:rPr>
        <w:lastRenderedPageBreak/>
        <w:t>（项）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w:t>
      </w:r>
      <w:r w:rsidR="009D5B68" w:rsidRPr="009D5B68">
        <w:rPr>
          <w:rFonts w:ascii="宋体" w:eastAsia="宋体" w:hAnsi="宋体"/>
          <w:color w:val="auto"/>
          <w:sz w:val="28"/>
          <w:szCs w:val="28"/>
        </w:rPr>
        <w:t>15.22</w:t>
      </w:r>
      <w:r w:rsidRPr="00AD5EDE">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w:t>
      </w:r>
      <w:r w:rsidRPr="00AD5EDE">
        <w:rPr>
          <w:rFonts w:ascii="宋体" w:eastAsia="宋体" w:hAnsi="宋体"/>
          <w:color w:val="auto"/>
          <w:sz w:val="28"/>
          <w:szCs w:val="28"/>
        </w:rPr>
        <w:t>是</w:t>
      </w:r>
      <w:r w:rsidR="00DE490E" w:rsidRPr="004B40B1">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2A5CDE">
        <w:rPr>
          <w:rFonts w:ascii="宋体" w:eastAsia="宋体" w:hAnsi="宋体"/>
          <w:color w:val="auto"/>
          <w:sz w:val="28"/>
          <w:szCs w:val="28"/>
        </w:rPr>
        <w:t>8</w:t>
      </w:r>
      <w:r w:rsidRPr="002D1C8A">
        <w:rPr>
          <w:rFonts w:ascii="宋体" w:eastAsia="宋体" w:hAnsi="宋体"/>
          <w:color w:val="auto"/>
          <w:sz w:val="28"/>
          <w:szCs w:val="28"/>
        </w:rPr>
        <w:t>、</w:t>
      </w:r>
      <w:r w:rsidR="00AD5EDE">
        <w:rPr>
          <w:rFonts w:ascii="宋体" w:eastAsia="宋体" w:hAnsi="宋体"/>
          <w:color w:val="auto"/>
          <w:sz w:val="28"/>
          <w:szCs w:val="28"/>
        </w:rPr>
        <w:t>卫生健康支出（类）公共卫生（款）其他公共卫生支出（项）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w:t>
      </w:r>
      <w:r w:rsidR="002A5CDE" w:rsidRPr="002A5CDE">
        <w:rPr>
          <w:rFonts w:ascii="宋体" w:eastAsia="宋体" w:hAnsi="宋体"/>
          <w:color w:val="auto"/>
          <w:sz w:val="28"/>
          <w:szCs w:val="28"/>
        </w:rPr>
        <w:t>0.21</w:t>
      </w:r>
      <w:r w:rsidRPr="00AD5EDE">
        <w:rPr>
          <w:rFonts w:ascii="宋体" w:eastAsia="宋体" w:hAnsi="宋体"/>
          <w:color w:val="auto"/>
          <w:sz w:val="28"/>
          <w:szCs w:val="28"/>
        </w:rPr>
        <w:t>万元，支出决算为</w:t>
      </w:r>
      <w:r w:rsidR="002A5CDE" w:rsidRPr="002A5CDE">
        <w:rPr>
          <w:rFonts w:ascii="宋体" w:eastAsia="宋体" w:hAnsi="宋体"/>
          <w:color w:val="auto"/>
          <w:sz w:val="28"/>
          <w:szCs w:val="28"/>
        </w:rPr>
        <w:t>372.28</w:t>
      </w:r>
      <w:r w:rsidRPr="00AD5EDE">
        <w:rPr>
          <w:rFonts w:ascii="宋体" w:eastAsia="宋体" w:hAnsi="宋体"/>
          <w:color w:val="auto"/>
          <w:sz w:val="28"/>
          <w:szCs w:val="28"/>
        </w:rPr>
        <w:t>万元</w:t>
      </w:r>
      <w:r w:rsidR="003009D3" w:rsidRPr="003009D3">
        <w:rPr>
          <w:rFonts w:ascii="宋体" w:eastAsia="宋体" w:hAnsi="宋体"/>
          <w:color w:val="auto"/>
          <w:sz w:val="28"/>
          <w:szCs w:val="28"/>
        </w:rPr>
        <w:t>，</w:t>
      </w:r>
      <w:r w:rsidRPr="00AD5EDE">
        <w:rPr>
          <w:rFonts w:ascii="宋体" w:eastAsia="宋体" w:hAnsi="宋体"/>
          <w:color w:val="auto"/>
          <w:sz w:val="28"/>
          <w:szCs w:val="28"/>
        </w:rPr>
        <w:t>决算数大于预算数的</w:t>
      </w:r>
      <w:r w:rsidRPr="0052056A">
        <w:rPr>
          <w:rFonts w:ascii="宋体" w:eastAsia="宋体" w:hAnsi="宋体"/>
          <w:color w:val="000000" w:themeColor="text1"/>
          <w:sz w:val="28"/>
          <w:szCs w:val="28"/>
        </w:rPr>
        <w:t>主要原因</w:t>
      </w:r>
      <w:r w:rsidRPr="00AD5EDE">
        <w:rPr>
          <w:rFonts w:ascii="宋体" w:eastAsia="宋体" w:hAnsi="宋体"/>
          <w:color w:val="auto"/>
          <w:sz w:val="28"/>
          <w:szCs w:val="28"/>
        </w:rPr>
        <w:t>是</w:t>
      </w:r>
      <w:r>
        <w:rPr>
          <w:rFonts w:ascii="宋体" w:eastAsia="宋体" w:hAnsi="宋体"/>
          <w:color w:val="auto"/>
          <w:sz w:val="28"/>
          <w:szCs w:val="28"/>
        </w:rPr>
        <w:t>：</w:t>
      </w:r>
      <w:r w:rsidR="002D1C8A" w:rsidRPr="002D1C8A">
        <w:rPr>
          <w:rFonts w:ascii="宋体" w:eastAsia="宋体" w:hAnsi="宋体"/>
          <w:color w:val="auto"/>
          <w:sz w:val="28"/>
          <w:szCs w:val="28"/>
        </w:rPr>
        <w:t>该项经费于年中追加。</w:t>
      </w:r>
    </w:p>
    <w:p w:rsidR="00B87C8A" w:rsidRPr="002D1C8A" w:rsidRDefault="002D1C8A" w:rsidP="00AD5EDE">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2A5CDE">
        <w:rPr>
          <w:rFonts w:ascii="宋体" w:eastAsia="宋体" w:hAnsi="宋体"/>
          <w:color w:val="auto"/>
          <w:sz w:val="28"/>
          <w:szCs w:val="28"/>
        </w:rPr>
        <w:t>9</w:t>
      </w:r>
      <w:r w:rsidRPr="002D1C8A">
        <w:rPr>
          <w:rFonts w:ascii="宋体" w:eastAsia="宋体" w:hAnsi="宋体"/>
          <w:color w:val="auto"/>
          <w:sz w:val="28"/>
          <w:szCs w:val="28"/>
        </w:rPr>
        <w:t>、</w:t>
      </w:r>
      <w:r w:rsidR="002A5CDE" w:rsidRPr="002A5CDE">
        <w:rPr>
          <w:rFonts w:ascii="宋体" w:eastAsia="宋体" w:hAnsi="宋体"/>
          <w:color w:val="auto"/>
          <w:sz w:val="28"/>
          <w:szCs w:val="28"/>
        </w:rPr>
        <w:t>节能环保支出</w:t>
      </w:r>
      <w:r w:rsidR="00AD5EDE" w:rsidRPr="00AD5EDE">
        <w:rPr>
          <w:rFonts w:ascii="宋体" w:eastAsia="宋体" w:hAnsi="宋体"/>
          <w:color w:val="auto"/>
          <w:sz w:val="28"/>
          <w:szCs w:val="28"/>
        </w:rPr>
        <w:t>（类）</w:t>
      </w:r>
      <w:r w:rsidR="002A5CDE" w:rsidRPr="002A5CDE">
        <w:rPr>
          <w:rFonts w:ascii="宋体" w:eastAsia="宋体" w:hAnsi="宋体"/>
          <w:color w:val="auto"/>
          <w:sz w:val="28"/>
          <w:szCs w:val="28"/>
        </w:rPr>
        <w:t>自然生态保护</w:t>
      </w:r>
      <w:r w:rsidR="00AD5EDE" w:rsidRPr="00AD5EDE">
        <w:rPr>
          <w:rFonts w:ascii="宋体" w:eastAsia="宋体" w:hAnsi="宋体"/>
          <w:color w:val="auto"/>
          <w:sz w:val="28"/>
          <w:szCs w:val="28"/>
        </w:rPr>
        <w:t>（款）</w:t>
      </w:r>
      <w:r w:rsidR="002A5CDE" w:rsidRPr="002A5CDE">
        <w:rPr>
          <w:rFonts w:ascii="宋体" w:eastAsia="宋体" w:hAnsi="宋体"/>
          <w:color w:val="auto"/>
          <w:sz w:val="28"/>
          <w:szCs w:val="28"/>
        </w:rPr>
        <w:t>其他自然生态保护支出</w:t>
      </w:r>
      <w:r w:rsidR="00AD5EDE" w:rsidRPr="00AD5EDE">
        <w:rPr>
          <w:rFonts w:ascii="宋体" w:eastAsia="宋体" w:hAnsi="宋体"/>
          <w:color w:val="auto"/>
          <w:sz w:val="28"/>
          <w:szCs w:val="28"/>
        </w:rPr>
        <w:t>（项）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w:t>
      </w:r>
      <w:r w:rsidR="002A5CDE" w:rsidRPr="002A5CDE">
        <w:rPr>
          <w:rFonts w:ascii="宋体" w:eastAsia="宋体" w:hAnsi="宋体"/>
          <w:color w:val="auto"/>
          <w:sz w:val="28"/>
          <w:szCs w:val="28"/>
        </w:rPr>
        <w:t>10.00</w:t>
      </w:r>
      <w:r w:rsidRPr="00AD5EDE">
        <w:rPr>
          <w:rFonts w:ascii="宋体" w:eastAsia="宋体" w:hAnsi="宋体"/>
          <w:color w:val="auto"/>
          <w:sz w:val="28"/>
          <w:szCs w:val="28"/>
        </w:rPr>
        <w:t>万元，决算数大于预算数的</w:t>
      </w:r>
      <w:r w:rsidRPr="0052056A">
        <w:rPr>
          <w:rFonts w:ascii="宋体" w:eastAsia="宋体" w:hAnsi="宋体"/>
          <w:color w:val="000000" w:themeColor="text1"/>
          <w:sz w:val="28"/>
          <w:szCs w:val="28"/>
        </w:rPr>
        <w:t>主要原因是</w:t>
      </w:r>
      <w:r w:rsidR="002D1C8A" w:rsidRPr="002D1C8A">
        <w:rPr>
          <w:rFonts w:ascii="宋体" w:eastAsia="宋体" w:hAnsi="宋体"/>
          <w:color w:val="auto"/>
          <w:sz w:val="28"/>
          <w:szCs w:val="28"/>
        </w:rPr>
        <w:t>：该项经费于年中追加。</w:t>
      </w:r>
    </w:p>
    <w:p w:rsidR="00B87C8A" w:rsidRDefault="002D1C8A">
      <w:pPr>
        <w:pStyle w:val="Default"/>
        <w:spacing w:line="360" w:lineRule="auto"/>
        <w:ind w:firstLineChars="200" w:firstLine="640"/>
        <w:rPr>
          <w:rFonts w:hint="default"/>
          <w:color w:val="auto"/>
          <w:sz w:val="32"/>
          <w:szCs w:val="32"/>
        </w:rPr>
      </w:pPr>
      <w:r>
        <w:rPr>
          <w:color w:val="auto"/>
          <w:sz w:val="32"/>
          <w:szCs w:val="32"/>
        </w:rPr>
        <w:t>六、一般公共预算财政拨款基本支出决算情况说明</w:t>
      </w:r>
    </w:p>
    <w:p w:rsidR="00AD474E" w:rsidRDefault="00AD474E" w:rsidP="00AD474E">
      <w:pPr>
        <w:pStyle w:val="Default"/>
        <w:spacing w:line="360" w:lineRule="auto"/>
        <w:ind w:firstLineChars="200" w:firstLine="560"/>
        <w:rPr>
          <w:rFonts w:hint="default"/>
        </w:rPr>
      </w:pPr>
      <w:r w:rsidRPr="00AD474E">
        <w:rPr>
          <w:rFonts w:ascii="宋体" w:eastAsia="宋体" w:hAnsi="宋体"/>
          <w:color w:val="auto"/>
          <w:sz w:val="28"/>
          <w:szCs w:val="28"/>
          <w:lang w:val="zh-CN"/>
        </w:rPr>
        <w:t>202</w:t>
      </w:r>
      <w:r w:rsidR="00AF164B">
        <w:rPr>
          <w:rFonts w:ascii="宋体" w:eastAsia="宋体" w:hAnsi="宋体"/>
          <w:color w:val="auto"/>
          <w:sz w:val="28"/>
          <w:szCs w:val="28"/>
          <w:lang w:val="zh-CN"/>
        </w:rPr>
        <w:t>3</w:t>
      </w:r>
      <w:r w:rsidRPr="00AD474E">
        <w:rPr>
          <w:rFonts w:ascii="宋体" w:eastAsia="宋体" w:hAnsi="宋体"/>
          <w:color w:val="auto"/>
          <w:sz w:val="28"/>
          <w:szCs w:val="28"/>
          <w:lang w:val="zh-CN"/>
        </w:rPr>
        <w:t>年度</w:t>
      </w:r>
      <w:r w:rsidRPr="00AD474E">
        <w:rPr>
          <w:rFonts w:ascii="宋体" w:eastAsia="宋体" w:hAnsi="宋体"/>
          <w:color w:val="auto"/>
          <w:sz w:val="28"/>
          <w:szCs w:val="28"/>
        </w:rPr>
        <w:t>财政拨款基本支出</w:t>
      </w:r>
      <w:r w:rsidR="00E776C9" w:rsidRPr="00E776C9">
        <w:rPr>
          <w:rFonts w:ascii="宋体" w:eastAsia="宋体" w:hAnsi="宋体"/>
          <w:color w:val="auto"/>
          <w:sz w:val="28"/>
          <w:szCs w:val="28"/>
        </w:rPr>
        <w:t>25,609.81</w:t>
      </w:r>
      <w:r w:rsidRPr="00AD474E">
        <w:rPr>
          <w:rFonts w:ascii="宋体" w:eastAsia="宋体" w:hAnsi="宋体"/>
          <w:color w:val="auto"/>
          <w:sz w:val="28"/>
          <w:szCs w:val="28"/>
        </w:rPr>
        <w:t>万元，其中:</w:t>
      </w:r>
    </w:p>
    <w:p w:rsidR="00AD474E" w:rsidRDefault="00AD474E" w:rsidP="00AD474E">
      <w:pPr>
        <w:pStyle w:val="Default"/>
        <w:spacing w:line="360" w:lineRule="auto"/>
        <w:ind w:firstLineChars="200" w:firstLine="560"/>
        <w:rPr>
          <w:rFonts w:ascii="宋体" w:eastAsia="宋体" w:hAnsi="宋体" w:hint="default"/>
          <w:color w:val="auto"/>
          <w:sz w:val="28"/>
          <w:szCs w:val="28"/>
        </w:rPr>
      </w:pPr>
      <w:r w:rsidRPr="00AD474E">
        <w:rPr>
          <w:rFonts w:ascii="宋体" w:eastAsia="宋体" w:hAnsi="宋体"/>
          <w:color w:val="auto"/>
          <w:sz w:val="28"/>
          <w:szCs w:val="28"/>
        </w:rPr>
        <w:t>人员经费</w:t>
      </w:r>
      <w:r w:rsidR="00E776C9" w:rsidRPr="00E776C9">
        <w:rPr>
          <w:rFonts w:ascii="宋体" w:eastAsia="宋体" w:hAnsi="宋体"/>
          <w:color w:val="auto"/>
          <w:sz w:val="28"/>
          <w:szCs w:val="28"/>
        </w:rPr>
        <w:t>23,503.89</w:t>
      </w:r>
      <w:r w:rsidRPr="00AD474E">
        <w:rPr>
          <w:rFonts w:ascii="宋体" w:eastAsia="宋体" w:hAnsi="宋体"/>
          <w:color w:val="auto"/>
          <w:sz w:val="28"/>
          <w:szCs w:val="28"/>
        </w:rPr>
        <w:t>万元，</w:t>
      </w:r>
      <w:proofErr w:type="gramStart"/>
      <w:r w:rsidRPr="00AD474E">
        <w:rPr>
          <w:rFonts w:ascii="宋体" w:eastAsia="宋体" w:hAnsi="宋体"/>
          <w:color w:val="auto"/>
          <w:sz w:val="28"/>
          <w:szCs w:val="28"/>
        </w:rPr>
        <w:t>占基本</w:t>
      </w:r>
      <w:proofErr w:type="gramEnd"/>
      <w:r w:rsidRPr="00AD474E">
        <w:rPr>
          <w:rFonts w:ascii="宋体" w:eastAsia="宋体" w:hAnsi="宋体"/>
          <w:color w:val="auto"/>
          <w:sz w:val="28"/>
          <w:szCs w:val="28"/>
        </w:rPr>
        <w:t>支出的</w:t>
      </w:r>
      <w:r w:rsidR="00E776C9" w:rsidRPr="00E776C9">
        <w:rPr>
          <w:rFonts w:ascii="宋体" w:eastAsia="宋体" w:hAnsi="宋体"/>
          <w:color w:val="auto"/>
          <w:sz w:val="28"/>
          <w:szCs w:val="28"/>
        </w:rPr>
        <w:t>91.78%</w:t>
      </w:r>
      <w:r w:rsidRPr="00AD474E">
        <w:rPr>
          <w:rFonts w:ascii="宋体" w:eastAsia="宋体" w:hAnsi="宋体"/>
          <w:color w:val="auto"/>
          <w:sz w:val="28"/>
          <w:szCs w:val="28"/>
        </w:rPr>
        <w:t>，主要包括基本工资、津贴补贴、伙食补助费、绩效工资、机关事业单位基本养老保险缴费、</w:t>
      </w:r>
      <w:r w:rsidR="00EB292C">
        <w:rPr>
          <w:rFonts w:ascii="宋体" w:eastAsia="宋体" w:hAnsi="宋体"/>
          <w:color w:val="auto"/>
          <w:sz w:val="28"/>
          <w:szCs w:val="28"/>
        </w:rPr>
        <w:t>职工基本医疗保险缴费</w:t>
      </w:r>
      <w:r w:rsidRPr="00AD474E">
        <w:rPr>
          <w:rFonts w:ascii="宋体" w:eastAsia="宋体" w:hAnsi="宋体"/>
          <w:color w:val="auto"/>
          <w:sz w:val="28"/>
          <w:szCs w:val="28"/>
        </w:rPr>
        <w:t>、住房公积金、其他工资福利支出、离休费、</w:t>
      </w:r>
      <w:r w:rsidR="00556574">
        <w:rPr>
          <w:rFonts w:ascii="宋体" w:eastAsia="宋体" w:hAnsi="宋体"/>
          <w:color w:val="auto"/>
          <w:sz w:val="28"/>
          <w:szCs w:val="28"/>
        </w:rPr>
        <w:t>抚恤金、生活补助、医疗费补助、其他对个人和家庭的补助。</w:t>
      </w:r>
    </w:p>
    <w:p w:rsidR="00AD474E" w:rsidRPr="00AD474E" w:rsidRDefault="00AD474E" w:rsidP="00AD474E">
      <w:pPr>
        <w:pStyle w:val="Default"/>
        <w:spacing w:line="360" w:lineRule="auto"/>
        <w:ind w:firstLineChars="200" w:firstLine="560"/>
        <w:rPr>
          <w:rFonts w:ascii="宋体" w:eastAsia="宋体" w:hAnsi="宋体" w:hint="default"/>
          <w:color w:val="auto"/>
          <w:sz w:val="28"/>
          <w:szCs w:val="28"/>
        </w:rPr>
      </w:pPr>
      <w:r w:rsidRPr="00AD474E">
        <w:rPr>
          <w:rFonts w:ascii="宋体" w:eastAsia="宋体" w:hAnsi="宋体"/>
          <w:color w:val="auto"/>
          <w:sz w:val="28"/>
          <w:szCs w:val="28"/>
        </w:rPr>
        <w:t>公用经费</w:t>
      </w:r>
      <w:r w:rsidR="00EB292C" w:rsidRPr="00EB292C">
        <w:rPr>
          <w:rFonts w:ascii="宋体" w:eastAsia="宋体" w:hAnsi="宋体"/>
          <w:color w:val="auto"/>
          <w:sz w:val="28"/>
          <w:szCs w:val="28"/>
        </w:rPr>
        <w:t>2,105.92</w:t>
      </w:r>
      <w:r w:rsidRPr="00AD474E">
        <w:rPr>
          <w:rFonts w:ascii="宋体" w:eastAsia="宋体" w:hAnsi="宋体"/>
          <w:color w:val="auto"/>
          <w:sz w:val="28"/>
          <w:szCs w:val="28"/>
        </w:rPr>
        <w:t>万元，</w:t>
      </w:r>
      <w:proofErr w:type="gramStart"/>
      <w:r w:rsidRPr="00AD474E">
        <w:rPr>
          <w:rFonts w:ascii="宋体" w:eastAsia="宋体" w:hAnsi="宋体"/>
          <w:color w:val="auto"/>
          <w:sz w:val="28"/>
          <w:szCs w:val="28"/>
        </w:rPr>
        <w:t>占基本</w:t>
      </w:r>
      <w:proofErr w:type="gramEnd"/>
      <w:r w:rsidRPr="00AD474E">
        <w:rPr>
          <w:rFonts w:ascii="宋体" w:eastAsia="宋体" w:hAnsi="宋体"/>
          <w:color w:val="auto"/>
          <w:sz w:val="28"/>
          <w:szCs w:val="28"/>
        </w:rPr>
        <w:t>支出的</w:t>
      </w:r>
      <w:r w:rsidR="00E776C9" w:rsidRPr="00E776C9">
        <w:rPr>
          <w:rFonts w:ascii="宋体" w:eastAsia="宋体" w:hAnsi="宋体"/>
          <w:color w:val="auto"/>
          <w:sz w:val="28"/>
          <w:szCs w:val="28"/>
        </w:rPr>
        <w:t>8.22%</w:t>
      </w:r>
      <w:r w:rsidRPr="00AD474E">
        <w:rPr>
          <w:rFonts w:ascii="宋体" w:eastAsia="宋体" w:hAnsi="宋体"/>
          <w:color w:val="auto"/>
          <w:sz w:val="28"/>
          <w:szCs w:val="28"/>
        </w:rPr>
        <w:t>，主要包括办公费、印刷费、电费、邮电费、物业管理费、差旅费、公务接待费、专用材料费、劳务费、委托业务费、公务用车运行维护费、其他交通费用、</w:t>
      </w:r>
      <w:r w:rsidR="00EB292C">
        <w:rPr>
          <w:rFonts w:ascii="宋体" w:eastAsia="宋体" w:hAnsi="宋体"/>
          <w:color w:val="auto"/>
          <w:sz w:val="28"/>
          <w:szCs w:val="28"/>
        </w:rPr>
        <w:t>其他商品和服务支出</w:t>
      </w:r>
      <w:r w:rsidRPr="00AD474E">
        <w:rPr>
          <w:rFonts w:ascii="宋体" w:eastAsia="宋体" w:hAnsi="宋体"/>
          <w:color w:val="auto"/>
          <w:sz w:val="28"/>
          <w:szCs w:val="28"/>
        </w:rPr>
        <w:t>。</w:t>
      </w:r>
    </w:p>
    <w:p w:rsidR="00B87C8A" w:rsidRDefault="00900EC5" w:rsidP="00AD474E">
      <w:pPr>
        <w:pStyle w:val="Default"/>
        <w:spacing w:line="360" w:lineRule="auto"/>
        <w:ind w:firstLineChars="200" w:firstLine="640"/>
        <w:rPr>
          <w:rFonts w:hint="default"/>
          <w:color w:val="auto"/>
          <w:sz w:val="32"/>
          <w:szCs w:val="32"/>
          <w:lang w:val="zh-CN"/>
        </w:rPr>
      </w:pPr>
      <w:r>
        <w:rPr>
          <w:color w:val="auto"/>
          <w:sz w:val="32"/>
          <w:szCs w:val="32"/>
          <w:lang w:val="zh-CN"/>
        </w:rPr>
        <w:t>七</w:t>
      </w:r>
      <w:r w:rsidR="00AD474E" w:rsidRPr="00AD474E">
        <w:rPr>
          <w:color w:val="auto"/>
          <w:sz w:val="32"/>
          <w:szCs w:val="32"/>
          <w:lang w:val="zh-CN"/>
        </w:rPr>
        <w:t>、财政拨款“三公”经费支出决算情况说明</w:t>
      </w:r>
    </w:p>
    <w:p w:rsidR="00B87C8A" w:rsidRDefault="002D1C8A">
      <w:pPr>
        <w:pStyle w:val="Default"/>
        <w:spacing w:line="360" w:lineRule="auto"/>
        <w:ind w:firstLineChars="200" w:firstLine="562"/>
        <w:rPr>
          <w:rFonts w:ascii="宋体" w:eastAsia="宋体" w:hAnsi="宋体" w:cs="宋体" w:hint="default"/>
          <w:b/>
          <w:color w:val="auto"/>
          <w:sz w:val="28"/>
          <w:szCs w:val="28"/>
          <w:lang w:val="zh-CN"/>
        </w:rPr>
      </w:pPr>
      <w:r>
        <w:rPr>
          <w:rFonts w:ascii="宋体" w:eastAsia="宋体" w:hAnsi="宋体" w:cs="宋体"/>
          <w:b/>
          <w:color w:val="auto"/>
          <w:sz w:val="28"/>
          <w:szCs w:val="28"/>
          <w:lang w:val="zh-CN"/>
        </w:rPr>
        <w:t>（一）“三公”经费财政拨款支出决算总体情况说明</w:t>
      </w:r>
    </w:p>
    <w:p w:rsidR="00B87C8A" w:rsidRPr="00556574" w:rsidRDefault="00C379C8" w:rsidP="009F4C9F">
      <w:pPr>
        <w:pStyle w:val="Default"/>
        <w:spacing w:line="360" w:lineRule="auto"/>
        <w:ind w:firstLineChars="200" w:firstLine="560"/>
        <w:rPr>
          <w:rFonts w:ascii="宋体" w:eastAsia="宋体" w:hAnsi="宋体" w:hint="default"/>
          <w:color w:val="auto"/>
          <w:sz w:val="28"/>
          <w:szCs w:val="28"/>
        </w:rPr>
      </w:pPr>
      <w:r w:rsidRPr="00C379C8">
        <w:rPr>
          <w:rFonts w:ascii="宋体" w:eastAsia="宋体" w:hAnsi="宋体"/>
          <w:color w:val="auto"/>
          <w:sz w:val="28"/>
          <w:szCs w:val="28"/>
        </w:rPr>
        <w:t>202</w:t>
      </w:r>
      <w:r w:rsidR="00EB292C">
        <w:rPr>
          <w:rFonts w:ascii="宋体" w:eastAsia="宋体" w:hAnsi="宋体"/>
          <w:color w:val="auto"/>
          <w:sz w:val="28"/>
          <w:szCs w:val="28"/>
        </w:rPr>
        <w:t>3</w:t>
      </w:r>
      <w:r w:rsidRPr="00C379C8">
        <w:rPr>
          <w:rFonts w:ascii="宋体" w:eastAsia="宋体" w:hAnsi="宋体"/>
          <w:color w:val="auto"/>
          <w:sz w:val="28"/>
          <w:szCs w:val="28"/>
        </w:rPr>
        <w:t>年度“三公”经费财政拨款支出预算为</w:t>
      </w:r>
      <w:r w:rsidR="00EB292C" w:rsidRPr="00EB292C">
        <w:rPr>
          <w:rFonts w:ascii="宋体" w:eastAsia="宋体" w:hAnsi="宋体"/>
          <w:color w:val="auto"/>
          <w:sz w:val="28"/>
          <w:szCs w:val="28"/>
        </w:rPr>
        <w:t>58.00</w:t>
      </w:r>
      <w:r w:rsidRPr="00C379C8">
        <w:rPr>
          <w:rFonts w:ascii="宋体" w:eastAsia="宋体" w:hAnsi="宋体"/>
          <w:color w:val="auto"/>
          <w:sz w:val="28"/>
          <w:szCs w:val="28"/>
        </w:rPr>
        <w:t>万元，支出决算</w:t>
      </w:r>
      <w:r w:rsidRPr="00C379C8">
        <w:rPr>
          <w:rFonts w:ascii="宋体" w:eastAsia="宋体" w:hAnsi="宋体"/>
          <w:color w:val="auto"/>
          <w:sz w:val="28"/>
          <w:szCs w:val="28"/>
        </w:rPr>
        <w:lastRenderedPageBreak/>
        <w:t>为</w:t>
      </w:r>
      <w:r w:rsidR="00EB292C" w:rsidRPr="00EB292C">
        <w:rPr>
          <w:rFonts w:ascii="宋体" w:eastAsia="宋体" w:hAnsi="宋体"/>
          <w:color w:val="auto"/>
          <w:sz w:val="28"/>
          <w:szCs w:val="28"/>
        </w:rPr>
        <w:t>58.00</w:t>
      </w:r>
      <w:r w:rsidRPr="00C379C8">
        <w:rPr>
          <w:rFonts w:ascii="宋体" w:eastAsia="宋体" w:hAnsi="宋体"/>
          <w:color w:val="auto"/>
          <w:sz w:val="28"/>
          <w:szCs w:val="28"/>
        </w:rPr>
        <w:t>万元,完成预算的100%</w:t>
      </w:r>
      <w:r>
        <w:rPr>
          <w:rFonts w:ascii="宋体" w:eastAsia="宋体" w:hAnsi="宋体"/>
          <w:color w:val="auto"/>
          <w:sz w:val="28"/>
          <w:szCs w:val="28"/>
        </w:rPr>
        <w:t>，其中</w:t>
      </w:r>
      <w:r w:rsidR="002D1C8A">
        <w:rPr>
          <w:rFonts w:ascii="宋体" w:eastAsia="宋体" w:hAnsi="宋体"/>
          <w:color w:val="auto"/>
          <w:sz w:val="28"/>
          <w:szCs w:val="28"/>
        </w:rPr>
        <w:t>：</w:t>
      </w:r>
      <w:r w:rsidRPr="00C379C8">
        <w:rPr>
          <w:rFonts w:ascii="宋体" w:eastAsia="宋体" w:hAnsi="宋体"/>
          <w:color w:val="auto"/>
          <w:sz w:val="28"/>
          <w:szCs w:val="28"/>
        </w:rPr>
        <w:t>因公出国（境）费支出预算为0万元，支出决算为0万元，</w:t>
      </w:r>
      <w:r w:rsidR="00E5561C">
        <w:rPr>
          <w:rFonts w:ascii="宋体" w:eastAsia="宋体" w:hAnsi="宋体"/>
          <w:color w:val="auto"/>
          <w:sz w:val="28"/>
          <w:szCs w:val="28"/>
        </w:rPr>
        <w:t>202</w:t>
      </w:r>
      <w:r w:rsidR="00EB292C">
        <w:rPr>
          <w:rFonts w:ascii="宋体" w:eastAsia="宋体" w:hAnsi="宋体"/>
          <w:color w:val="auto"/>
          <w:sz w:val="28"/>
          <w:szCs w:val="28"/>
        </w:rPr>
        <w:t>3</w:t>
      </w:r>
      <w:r>
        <w:rPr>
          <w:rFonts w:ascii="宋体" w:eastAsia="宋体" w:hAnsi="宋体"/>
          <w:color w:val="auto"/>
          <w:sz w:val="28"/>
          <w:szCs w:val="28"/>
        </w:rPr>
        <w:t>年无因公</w:t>
      </w:r>
      <w:r w:rsidRPr="00C379C8">
        <w:rPr>
          <w:rFonts w:ascii="宋体" w:eastAsia="宋体" w:hAnsi="宋体"/>
          <w:color w:val="auto"/>
          <w:sz w:val="28"/>
          <w:szCs w:val="28"/>
        </w:rPr>
        <w:t>出国（境）</w:t>
      </w:r>
      <w:r>
        <w:rPr>
          <w:rFonts w:ascii="宋体" w:eastAsia="宋体" w:hAnsi="宋体"/>
          <w:color w:val="auto"/>
          <w:sz w:val="28"/>
          <w:szCs w:val="28"/>
        </w:rPr>
        <w:t>工作任务。</w:t>
      </w:r>
      <w:r w:rsidR="00E5561C" w:rsidRPr="00E5561C">
        <w:rPr>
          <w:rFonts w:ascii="宋体" w:eastAsia="宋体" w:hAnsi="宋体"/>
          <w:color w:val="auto"/>
          <w:sz w:val="28"/>
          <w:szCs w:val="28"/>
        </w:rPr>
        <w:t>公务接待费支出预算为</w:t>
      </w:r>
      <w:r w:rsidR="00EB292C" w:rsidRPr="00EB292C">
        <w:rPr>
          <w:rFonts w:ascii="宋体" w:eastAsia="宋体" w:hAnsi="宋体"/>
          <w:color w:val="auto"/>
          <w:sz w:val="28"/>
          <w:szCs w:val="28"/>
        </w:rPr>
        <w:t>20.00</w:t>
      </w:r>
      <w:r w:rsidR="00E5561C" w:rsidRPr="00E5561C">
        <w:rPr>
          <w:rFonts w:ascii="宋体" w:eastAsia="宋体" w:hAnsi="宋体"/>
          <w:color w:val="auto"/>
          <w:sz w:val="28"/>
          <w:szCs w:val="28"/>
        </w:rPr>
        <w:t>万元，支出决算为</w:t>
      </w:r>
      <w:r w:rsidR="00EB292C" w:rsidRPr="00EB292C">
        <w:rPr>
          <w:rFonts w:ascii="宋体" w:eastAsia="宋体" w:hAnsi="宋体"/>
          <w:color w:val="auto"/>
          <w:sz w:val="28"/>
          <w:szCs w:val="28"/>
        </w:rPr>
        <w:t>20.00</w:t>
      </w:r>
      <w:r w:rsidR="00E5561C" w:rsidRPr="00E5561C">
        <w:rPr>
          <w:rFonts w:ascii="宋体" w:eastAsia="宋体" w:hAnsi="宋体"/>
          <w:color w:val="auto"/>
          <w:sz w:val="28"/>
          <w:szCs w:val="28"/>
        </w:rPr>
        <w:t>万元,与决算持平；完成预算的</w:t>
      </w:r>
      <w:r w:rsidR="00E5561C">
        <w:rPr>
          <w:rFonts w:ascii="宋体" w:eastAsia="宋体" w:hAnsi="宋体"/>
          <w:color w:val="auto"/>
          <w:sz w:val="28"/>
          <w:szCs w:val="28"/>
        </w:rPr>
        <w:t>100%，</w:t>
      </w:r>
      <w:r w:rsidR="00E5561C" w:rsidRPr="00E5561C">
        <w:rPr>
          <w:rFonts w:ascii="宋体" w:eastAsia="宋体" w:hAnsi="宋体"/>
          <w:color w:val="auto"/>
          <w:sz w:val="28"/>
          <w:szCs w:val="28"/>
        </w:rPr>
        <w:t>决算数与预算数一致，我单位严格按预算执行决算。与上年相比</w:t>
      </w:r>
      <w:r w:rsidR="00EB292C">
        <w:rPr>
          <w:rFonts w:ascii="宋体" w:eastAsia="宋体" w:hAnsi="宋体"/>
          <w:color w:val="auto"/>
          <w:sz w:val="28"/>
          <w:szCs w:val="28"/>
        </w:rPr>
        <w:t>减少</w:t>
      </w:r>
      <w:r w:rsidR="00EB292C" w:rsidRPr="00EB292C">
        <w:rPr>
          <w:rFonts w:ascii="宋体" w:eastAsia="宋体" w:hAnsi="宋体"/>
          <w:color w:val="auto"/>
          <w:sz w:val="28"/>
          <w:szCs w:val="28"/>
        </w:rPr>
        <w:t>5.26</w:t>
      </w:r>
      <w:r w:rsidR="00E5561C" w:rsidRPr="00E5561C">
        <w:rPr>
          <w:rFonts w:ascii="宋体" w:eastAsia="宋体" w:hAnsi="宋体"/>
          <w:color w:val="auto"/>
          <w:sz w:val="28"/>
          <w:szCs w:val="28"/>
        </w:rPr>
        <w:t>万元，</w:t>
      </w:r>
      <w:r w:rsidR="00EB292C">
        <w:rPr>
          <w:rFonts w:ascii="宋体" w:eastAsia="宋体" w:hAnsi="宋体"/>
          <w:color w:val="auto"/>
          <w:sz w:val="28"/>
          <w:szCs w:val="28"/>
        </w:rPr>
        <w:t>降幅为</w:t>
      </w:r>
      <w:r w:rsidR="00EB292C" w:rsidRPr="00EB292C">
        <w:rPr>
          <w:rFonts w:ascii="宋体" w:eastAsia="宋体" w:hAnsi="宋体"/>
          <w:color w:val="auto"/>
          <w:sz w:val="28"/>
          <w:szCs w:val="28"/>
        </w:rPr>
        <w:t>20.82%</w:t>
      </w:r>
      <w:r w:rsidR="00E5561C" w:rsidRPr="00E5561C">
        <w:rPr>
          <w:rFonts w:ascii="宋体" w:eastAsia="宋体" w:hAnsi="宋体"/>
          <w:color w:val="auto"/>
          <w:sz w:val="28"/>
          <w:szCs w:val="28"/>
        </w:rPr>
        <w:t>,</w:t>
      </w:r>
      <w:r w:rsidR="00C4251E">
        <w:rPr>
          <w:rFonts w:ascii="宋体" w:eastAsia="宋体" w:hAnsi="宋体"/>
          <w:color w:val="auto"/>
          <w:sz w:val="28"/>
          <w:szCs w:val="28"/>
        </w:rPr>
        <w:t>下降</w:t>
      </w:r>
      <w:r w:rsidR="00E5561C" w:rsidRPr="00E5561C">
        <w:rPr>
          <w:rFonts w:ascii="宋体" w:eastAsia="宋体" w:hAnsi="宋体"/>
          <w:color w:val="auto"/>
          <w:sz w:val="28"/>
          <w:szCs w:val="28"/>
        </w:rPr>
        <w:t>的</w:t>
      </w:r>
      <w:r w:rsidR="00E5561C" w:rsidRPr="00556574">
        <w:rPr>
          <w:rFonts w:ascii="宋体" w:eastAsia="宋体" w:hAnsi="宋体"/>
          <w:color w:val="000000" w:themeColor="text1"/>
          <w:sz w:val="28"/>
          <w:szCs w:val="28"/>
        </w:rPr>
        <w:t>主要原因</w:t>
      </w:r>
      <w:r w:rsidR="00E5561C" w:rsidRPr="00E5561C">
        <w:rPr>
          <w:rFonts w:ascii="宋体" w:eastAsia="宋体" w:hAnsi="宋体"/>
          <w:color w:val="auto"/>
          <w:sz w:val="28"/>
          <w:szCs w:val="28"/>
        </w:rPr>
        <w:t>是：</w:t>
      </w:r>
      <w:r w:rsidR="00C4251E">
        <w:rPr>
          <w:rFonts w:ascii="宋体" w:eastAsia="宋体" w:hAnsi="宋体"/>
          <w:color w:val="auto"/>
          <w:sz w:val="28"/>
          <w:szCs w:val="28"/>
        </w:rPr>
        <w:t>学校</w:t>
      </w:r>
      <w:r w:rsidR="00C4251E" w:rsidRPr="00C4251E">
        <w:rPr>
          <w:rFonts w:ascii="宋体" w:eastAsia="宋体" w:hAnsi="宋体"/>
          <w:color w:val="auto"/>
          <w:sz w:val="28"/>
          <w:szCs w:val="28"/>
        </w:rPr>
        <w:t>严格执行预算支出，充分、高效使用财政拨款</w:t>
      </w:r>
      <w:r w:rsidR="00C4251E">
        <w:rPr>
          <w:rFonts w:ascii="宋体" w:eastAsia="宋体" w:hAnsi="宋体"/>
          <w:color w:val="auto"/>
          <w:sz w:val="28"/>
          <w:szCs w:val="28"/>
        </w:rPr>
        <w:t>，</w:t>
      </w:r>
      <w:r w:rsidR="00C4251E" w:rsidRPr="00C4251E">
        <w:rPr>
          <w:rFonts w:ascii="宋体" w:eastAsia="宋体" w:hAnsi="宋体"/>
          <w:color w:val="auto"/>
          <w:sz w:val="28"/>
          <w:szCs w:val="28"/>
        </w:rPr>
        <w:t>按政策制度开支公务接待费</w:t>
      </w:r>
      <w:r w:rsidR="00C4251E">
        <w:rPr>
          <w:rFonts w:ascii="宋体" w:eastAsia="宋体" w:hAnsi="宋体"/>
          <w:color w:val="auto"/>
          <w:sz w:val="28"/>
          <w:szCs w:val="28"/>
        </w:rPr>
        <w:t>用</w:t>
      </w:r>
      <w:r w:rsidR="00C4251E" w:rsidRPr="00C4251E">
        <w:rPr>
          <w:rFonts w:ascii="宋体" w:eastAsia="宋体" w:hAnsi="宋体"/>
          <w:color w:val="auto"/>
          <w:sz w:val="28"/>
          <w:szCs w:val="28"/>
        </w:rPr>
        <w:t>，严格遵守中央八项规定，减少相关公务接待费</w:t>
      </w:r>
      <w:r w:rsidR="00C4251E">
        <w:rPr>
          <w:rFonts w:ascii="宋体" w:eastAsia="宋体" w:hAnsi="宋体"/>
          <w:color w:val="auto"/>
          <w:sz w:val="28"/>
          <w:szCs w:val="28"/>
        </w:rPr>
        <w:t>用</w:t>
      </w:r>
      <w:r w:rsidR="00E5561C" w:rsidRPr="00E5561C">
        <w:rPr>
          <w:rFonts w:ascii="宋体" w:eastAsia="宋体" w:hAnsi="宋体"/>
          <w:color w:val="auto"/>
          <w:sz w:val="28"/>
          <w:szCs w:val="28"/>
        </w:rPr>
        <w:t>。</w:t>
      </w:r>
      <w:r w:rsidR="002D1C8A">
        <w:rPr>
          <w:rFonts w:ascii="宋体" w:eastAsia="宋体" w:hAnsi="宋体"/>
          <w:color w:val="auto"/>
          <w:sz w:val="28"/>
          <w:szCs w:val="28"/>
        </w:rPr>
        <w:t>公务用车购置费及运行维护费支出预算为</w:t>
      </w:r>
      <w:r w:rsidR="009F4C9F" w:rsidRPr="009F4C9F">
        <w:rPr>
          <w:rFonts w:ascii="宋体" w:eastAsia="宋体" w:hAnsi="宋体"/>
          <w:color w:val="auto"/>
          <w:sz w:val="28"/>
          <w:szCs w:val="28"/>
        </w:rPr>
        <w:t>38.00</w:t>
      </w:r>
      <w:r w:rsidR="002D1C8A">
        <w:rPr>
          <w:rFonts w:ascii="宋体" w:eastAsia="宋体" w:hAnsi="宋体"/>
          <w:color w:val="auto"/>
          <w:sz w:val="28"/>
          <w:szCs w:val="28"/>
        </w:rPr>
        <w:t>万元，支出决算为</w:t>
      </w:r>
      <w:r w:rsidR="009F4C9F" w:rsidRPr="009F4C9F">
        <w:rPr>
          <w:rFonts w:ascii="宋体" w:eastAsia="宋体" w:hAnsi="宋体"/>
          <w:color w:val="auto"/>
          <w:sz w:val="28"/>
          <w:szCs w:val="28"/>
        </w:rPr>
        <w:t>38.00</w:t>
      </w:r>
      <w:r w:rsidR="002D1C8A">
        <w:rPr>
          <w:rFonts w:ascii="宋体" w:eastAsia="宋体" w:hAnsi="宋体"/>
          <w:color w:val="auto"/>
          <w:sz w:val="28"/>
          <w:szCs w:val="28"/>
        </w:rPr>
        <w:t>万元，</w:t>
      </w:r>
      <w:r w:rsidR="009F4C9F" w:rsidRPr="009F4C9F">
        <w:rPr>
          <w:rFonts w:ascii="宋体" w:eastAsia="宋体" w:hAnsi="宋体"/>
          <w:color w:val="auto"/>
          <w:sz w:val="28"/>
          <w:szCs w:val="28"/>
        </w:rPr>
        <w:t>完成预算的100%，决算数与预算数一致，我单位严格按预算执行决算</w:t>
      </w:r>
      <w:r w:rsidR="009F4C9F" w:rsidRPr="00EC77AB">
        <w:rPr>
          <w:rFonts w:ascii="宋体" w:eastAsia="宋体" w:hAnsi="宋体"/>
          <w:color w:val="auto"/>
          <w:sz w:val="28"/>
          <w:szCs w:val="28"/>
        </w:rPr>
        <w:t>。</w:t>
      </w:r>
      <w:r w:rsidR="002C047B" w:rsidRPr="00EC77AB">
        <w:rPr>
          <w:rFonts w:ascii="宋体" w:eastAsia="宋体" w:hAnsi="宋体"/>
          <w:color w:val="auto"/>
          <w:sz w:val="28"/>
          <w:szCs w:val="28"/>
        </w:rPr>
        <w:t>与上年相比增加38.00万元，增长的主要原因是：公务用车购置费及运行维护费的使用资金结构变化，2022年没</w:t>
      </w:r>
      <w:r w:rsidR="000F51A6">
        <w:rPr>
          <w:rFonts w:ascii="宋体" w:eastAsia="宋体" w:hAnsi="宋体"/>
          <w:color w:val="auto"/>
          <w:sz w:val="28"/>
          <w:szCs w:val="28"/>
        </w:rPr>
        <w:t>有</w:t>
      </w:r>
      <w:r w:rsidR="002C047B" w:rsidRPr="00EC77AB">
        <w:rPr>
          <w:rFonts w:ascii="宋体" w:eastAsia="宋体" w:hAnsi="宋体"/>
          <w:color w:val="auto"/>
          <w:sz w:val="28"/>
          <w:szCs w:val="28"/>
        </w:rPr>
        <w:t>安排财政资金，主要</w:t>
      </w:r>
      <w:proofErr w:type="gramStart"/>
      <w:r w:rsidR="002C047B" w:rsidRPr="00EC77AB">
        <w:rPr>
          <w:rFonts w:ascii="宋体" w:eastAsia="宋体" w:hAnsi="宋体"/>
          <w:color w:val="auto"/>
          <w:sz w:val="28"/>
          <w:szCs w:val="28"/>
        </w:rPr>
        <w:t>是非税</w:t>
      </w:r>
      <w:proofErr w:type="gramEnd"/>
      <w:r w:rsidR="002C047B" w:rsidRPr="00EC77AB">
        <w:rPr>
          <w:rFonts w:ascii="宋体" w:eastAsia="宋体" w:hAnsi="宋体"/>
          <w:color w:val="auto"/>
          <w:sz w:val="28"/>
          <w:szCs w:val="28"/>
        </w:rPr>
        <w:t>及其他类型资金支出；2023年安排财政资金38万元，并全部支出。</w:t>
      </w:r>
    </w:p>
    <w:p w:rsidR="00B87C8A" w:rsidRDefault="002D1C8A">
      <w:pPr>
        <w:pStyle w:val="Default"/>
        <w:spacing w:line="360" w:lineRule="auto"/>
        <w:ind w:firstLineChars="200" w:firstLine="562"/>
        <w:rPr>
          <w:rFonts w:ascii="宋体" w:eastAsia="宋体" w:hAnsi="宋体" w:cs="宋体" w:hint="default"/>
          <w:color w:val="auto"/>
          <w:sz w:val="28"/>
          <w:szCs w:val="28"/>
        </w:rPr>
      </w:pPr>
      <w:r>
        <w:rPr>
          <w:rFonts w:ascii="宋体" w:eastAsia="宋体" w:hAnsi="宋体" w:cs="宋体"/>
          <w:b/>
          <w:color w:val="auto"/>
          <w:sz w:val="28"/>
          <w:szCs w:val="28"/>
          <w:lang w:val="zh-CN"/>
        </w:rPr>
        <w:t>（二）“三公”经费财政拨款支出决算具体情况说明</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202</w:t>
      </w:r>
      <w:r w:rsidR="009F4C9F">
        <w:rPr>
          <w:rFonts w:ascii="宋体" w:eastAsia="宋体" w:hAnsi="宋体"/>
          <w:color w:val="auto"/>
          <w:sz w:val="28"/>
          <w:szCs w:val="28"/>
        </w:rPr>
        <w:t>3</w:t>
      </w:r>
      <w:r w:rsidRPr="00E5561C">
        <w:rPr>
          <w:rFonts w:ascii="宋体" w:eastAsia="宋体" w:hAnsi="宋体"/>
          <w:color w:val="auto"/>
          <w:sz w:val="28"/>
          <w:szCs w:val="28"/>
        </w:rPr>
        <w:t>年度“三公”经费财政拨款支出决算中，因公出国（境）费支出决算0万元，占0%；公务接待费支出决算</w:t>
      </w:r>
      <w:r w:rsidR="00D1223F">
        <w:rPr>
          <w:rFonts w:ascii="宋体" w:eastAsia="宋体" w:hAnsi="宋体"/>
          <w:color w:val="auto"/>
          <w:sz w:val="28"/>
          <w:szCs w:val="28"/>
        </w:rPr>
        <w:t>20.00</w:t>
      </w:r>
      <w:r w:rsidRPr="00E5561C">
        <w:rPr>
          <w:rFonts w:ascii="宋体" w:eastAsia="宋体" w:hAnsi="宋体"/>
          <w:color w:val="auto"/>
          <w:sz w:val="28"/>
          <w:szCs w:val="28"/>
        </w:rPr>
        <w:t>万元，占</w:t>
      </w:r>
      <w:r w:rsidR="00D1223F" w:rsidRPr="00D1223F">
        <w:rPr>
          <w:rFonts w:ascii="宋体" w:eastAsia="宋体" w:hAnsi="宋体"/>
          <w:color w:val="auto"/>
          <w:sz w:val="28"/>
          <w:szCs w:val="28"/>
        </w:rPr>
        <w:t>34.48%</w:t>
      </w:r>
      <w:r w:rsidRPr="00E5561C">
        <w:rPr>
          <w:rFonts w:ascii="宋体" w:eastAsia="宋体" w:hAnsi="宋体"/>
          <w:color w:val="auto"/>
          <w:sz w:val="28"/>
          <w:szCs w:val="28"/>
        </w:rPr>
        <w:t>。公务用车购置费及运行维护费支出决算</w:t>
      </w:r>
      <w:r w:rsidR="00D1223F">
        <w:rPr>
          <w:rFonts w:ascii="宋体" w:eastAsia="宋体" w:hAnsi="宋体"/>
          <w:color w:val="auto"/>
          <w:sz w:val="28"/>
          <w:szCs w:val="28"/>
        </w:rPr>
        <w:t>38.00</w:t>
      </w:r>
      <w:r w:rsidRPr="00E5561C">
        <w:rPr>
          <w:rFonts w:ascii="宋体" w:eastAsia="宋体" w:hAnsi="宋体"/>
          <w:color w:val="auto"/>
          <w:sz w:val="28"/>
          <w:szCs w:val="28"/>
        </w:rPr>
        <w:t>万元，占</w:t>
      </w:r>
      <w:r w:rsidR="00D1223F" w:rsidRPr="00D1223F">
        <w:rPr>
          <w:rFonts w:ascii="宋体" w:eastAsia="宋体" w:hAnsi="宋体"/>
          <w:color w:val="auto"/>
          <w:sz w:val="28"/>
          <w:szCs w:val="28"/>
        </w:rPr>
        <w:t>65.52%</w:t>
      </w:r>
      <w:r>
        <w:rPr>
          <w:rFonts w:ascii="宋体" w:eastAsia="宋体" w:hAnsi="宋体"/>
          <w:color w:val="auto"/>
          <w:sz w:val="28"/>
          <w:szCs w:val="28"/>
        </w:rPr>
        <w:t>。</w:t>
      </w:r>
      <w:r w:rsidR="002D1C8A">
        <w:rPr>
          <w:rFonts w:ascii="宋体" w:eastAsia="宋体" w:hAnsi="宋体"/>
          <w:color w:val="auto"/>
          <w:sz w:val="28"/>
          <w:szCs w:val="28"/>
        </w:rPr>
        <w:t>其中：</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1、因公出国（境）费支出决算0万元，全年安排因公出国（境）团组0个，累计0人次。</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2、公务接待费支出决算为</w:t>
      </w:r>
      <w:r w:rsidR="00D1223F">
        <w:rPr>
          <w:rFonts w:ascii="宋体" w:eastAsia="宋体" w:hAnsi="宋体"/>
          <w:color w:val="auto"/>
          <w:sz w:val="28"/>
          <w:szCs w:val="28"/>
        </w:rPr>
        <w:t>20.00</w:t>
      </w:r>
      <w:r w:rsidRPr="00E5561C">
        <w:rPr>
          <w:rFonts w:ascii="宋体" w:eastAsia="宋体" w:hAnsi="宋体"/>
          <w:color w:val="auto"/>
          <w:sz w:val="28"/>
          <w:szCs w:val="28"/>
        </w:rPr>
        <w:t>万元，</w:t>
      </w:r>
      <w:r w:rsidR="005C563B" w:rsidRPr="005C563B">
        <w:rPr>
          <w:rFonts w:ascii="宋体" w:eastAsia="宋体" w:hAnsi="宋体"/>
          <w:color w:val="000000" w:themeColor="text1"/>
          <w:sz w:val="28"/>
          <w:szCs w:val="28"/>
        </w:rPr>
        <w:t>全部为国内公务接待支出</w:t>
      </w:r>
      <w:r w:rsidRPr="00E5561C">
        <w:rPr>
          <w:rFonts w:ascii="宋体" w:eastAsia="宋体" w:hAnsi="宋体"/>
          <w:color w:val="auto"/>
          <w:sz w:val="28"/>
          <w:szCs w:val="28"/>
        </w:rPr>
        <w:t>,主要用于与有关单位交流工作情况及接受相关部门检查指导工作发生的接待支出。</w:t>
      </w:r>
      <w:r w:rsidR="009A48B7">
        <w:rPr>
          <w:rFonts w:ascii="宋体" w:eastAsia="宋体" w:hAnsi="宋体"/>
          <w:color w:val="auto"/>
          <w:sz w:val="28"/>
          <w:szCs w:val="28"/>
        </w:rPr>
        <w:t>2023</w:t>
      </w:r>
      <w:r w:rsidRPr="00E5561C">
        <w:rPr>
          <w:rFonts w:ascii="宋体" w:eastAsia="宋体" w:hAnsi="宋体"/>
          <w:color w:val="auto"/>
          <w:sz w:val="28"/>
          <w:szCs w:val="28"/>
        </w:rPr>
        <w:t>年共接待国内公务接待批</w:t>
      </w:r>
      <w:r w:rsidRPr="00EC77AB">
        <w:rPr>
          <w:rFonts w:ascii="宋体" w:eastAsia="宋体" w:hAnsi="宋体"/>
          <w:color w:val="auto"/>
          <w:sz w:val="28"/>
          <w:szCs w:val="28"/>
        </w:rPr>
        <w:t>次</w:t>
      </w:r>
      <w:r w:rsidR="00D1223F" w:rsidRPr="00EC77AB">
        <w:rPr>
          <w:rFonts w:ascii="宋体" w:eastAsia="宋体" w:hAnsi="宋体"/>
          <w:color w:val="auto"/>
          <w:sz w:val="28"/>
          <w:szCs w:val="28"/>
        </w:rPr>
        <w:t>149</w:t>
      </w:r>
      <w:r w:rsidRPr="00EC77AB">
        <w:rPr>
          <w:rFonts w:ascii="宋体" w:eastAsia="宋体" w:hAnsi="宋体"/>
          <w:color w:val="auto"/>
          <w:sz w:val="28"/>
          <w:szCs w:val="28"/>
        </w:rPr>
        <w:t>个、接待人次</w:t>
      </w:r>
      <w:r w:rsidR="00D1223F" w:rsidRPr="00EC77AB">
        <w:rPr>
          <w:rFonts w:ascii="宋体" w:eastAsia="宋体" w:hAnsi="宋体"/>
          <w:color w:val="auto"/>
          <w:sz w:val="28"/>
          <w:szCs w:val="28"/>
        </w:rPr>
        <w:t>1,613</w:t>
      </w:r>
      <w:r w:rsidRPr="00EC77AB">
        <w:rPr>
          <w:rFonts w:ascii="宋体" w:eastAsia="宋体" w:hAnsi="宋体"/>
          <w:color w:val="auto"/>
          <w:sz w:val="28"/>
          <w:szCs w:val="28"/>
        </w:rPr>
        <w:t>人次（不包括陪同人员）。</w:t>
      </w:r>
    </w:p>
    <w:p w:rsidR="00E5561C" w:rsidRDefault="00E5561C" w:rsidP="00D1223F">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3、公务用车购置费及运行维护费支出决算</w:t>
      </w:r>
      <w:r w:rsidR="00D1223F">
        <w:rPr>
          <w:rFonts w:ascii="宋体" w:eastAsia="宋体" w:hAnsi="宋体"/>
          <w:color w:val="auto"/>
          <w:sz w:val="28"/>
          <w:szCs w:val="28"/>
        </w:rPr>
        <w:t>38.00</w:t>
      </w:r>
      <w:r w:rsidRPr="00E5561C">
        <w:rPr>
          <w:rFonts w:ascii="宋体" w:eastAsia="宋体" w:hAnsi="宋体"/>
          <w:color w:val="auto"/>
          <w:sz w:val="28"/>
          <w:szCs w:val="28"/>
        </w:rPr>
        <w:t>万元，其中：公务用车购置费0万元，更新公务用车0辆。公务用车运行维护费</w:t>
      </w:r>
      <w:r w:rsidR="00D1223F">
        <w:rPr>
          <w:rFonts w:ascii="宋体" w:eastAsia="宋体" w:hAnsi="宋体"/>
          <w:color w:val="auto"/>
          <w:sz w:val="28"/>
          <w:szCs w:val="28"/>
        </w:rPr>
        <w:t>38.00万</w:t>
      </w:r>
      <w:r w:rsidRPr="00E5561C">
        <w:rPr>
          <w:rFonts w:ascii="宋体" w:eastAsia="宋体" w:hAnsi="宋体"/>
          <w:color w:val="auto"/>
          <w:sz w:val="28"/>
          <w:szCs w:val="28"/>
        </w:rPr>
        <w:t>元，</w:t>
      </w:r>
      <w:r w:rsidRPr="00E5561C">
        <w:rPr>
          <w:rFonts w:ascii="宋体" w:eastAsia="宋体" w:hAnsi="宋体"/>
          <w:color w:val="auto"/>
          <w:sz w:val="28"/>
          <w:szCs w:val="28"/>
        </w:rPr>
        <w:lastRenderedPageBreak/>
        <w:t>截止202</w:t>
      </w:r>
      <w:r w:rsidR="00D1223F">
        <w:rPr>
          <w:rFonts w:ascii="宋体" w:eastAsia="宋体" w:hAnsi="宋体"/>
          <w:color w:val="auto"/>
          <w:sz w:val="28"/>
          <w:szCs w:val="28"/>
        </w:rPr>
        <w:t>3</w:t>
      </w:r>
      <w:r w:rsidRPr="00E5561C">
        <w:rPr>
          <w:rFonts w:ascii="宋体" w:eastAsia="宋体" w:hAnsi="宋体"/>
          <w:color w:val="auto"/>
          <w:sz w:val="28"/>
          <w:szCs w:val="28"/>
        </w:rPr>
        <w:t>年12月31日，我单位开支财政拨款的公务用车保有量为</w:t>
      </w:r>
      <w:r w:rsidR="00D1223F" w:rsidRPr="005C563B">
        <w:rPr>
          <w:rFonts w:ascii="宋体" w:eastAsia="宋体" w:hAnsi="宋体"/>
          <w:color w:val="auto"/>
          <w:sz w:val="28"/>
          <w:szCs w:val="28"/>
        </w:rPr>
        <w:t>9</w:t>
      </w:r>
      <w:r w:rsidRPr="005C563B">
        <w:rPr>
          <w:rFonts w:ascii="宋体" w:eastAsia="宋体" w:hAnsi="宋体"/>
          <w:color w:val="auto"/>
          <w:sz w:val="28"/>
          <w:szCs w:val="28"/>
        </w:rPr>
        <w:t>辆</w:t>
      </w:r>
      <w:r w:rsidRPr="00E5561C">
        <w:rPr>
          <w:rFonts w:ascii="宋体" w:eastAsia="宋体" w:hAnsi="宋体"/>
          <w:color w:val="auto"/>
          <w:sz w:val="28"/>
          <w:szCs w:val="28"/>
        </w:rPr>
        <w:t>。</w:t>
      </w:r>
    </w:p>
    <w:p w:rsidR="00B87C8A" w:rsidRDefault="002D1C8A">
      <w:pPr>
        <w:autoSpaceDE w:val="0"/>
        <w:autoSpaceDN w:val="0"/>
        <w:adjustRightInd w:val="0"/>
        <w:spacing w:line="360" w:lineRule="auto"/>
        <w:ind w:firstLineChars="200" w:firstLine="640"/>
        <w:rPr>
          <w:sz w:val="28"/>
          <w:szCs w:val="28"/>
        </w:rPr>
      </w:pPr>
      <w:r>
        <w:rPr>
          <w:rFonts w:ascii="黑体" w:eastAsia="黑体" w:cs="黑体"/>
          <w:sz w:val="32"/>
          <w:szCs w:val="32"/>
          <w:lang w:val="zh-CN"/>
        </w:rPr>
        <w:t>八、政府性基金预算收入支出决算情况</w:t>
      </w:r>
    </w:p>
    <w:p w:rsidR="00B87C8A" w:rsidRPr="002D1C8A" w:rsidRDefault="00C62F1C" w:rsidP="002D1C8A">
      <w:pPr>
        <w:autoSpaceDE w:val="0"/>
        <w:autoSpaceDN w:val="0"/>
        <w:adjustRightInd w:val="0"/>
        <w:spacing w:line="360" w:lineRule="auto"/>
        <w:ind w:firstLineChars="200" w:firstLine="560"/>
        <w:rPr>
          <w:rFonts w:ascii="Times New Roman" w:hAnsi="Times New Roman"/>
          <w:sz w:val="28"/>
          <w:szCs w:val="28"/>
        </w:rPr>
      </w:pPr>
      <w:r>
        <w:rPr>
          <w:sz w:val="28"/>
          <w:szCs w:val="28"/>
          <w:lang w:val="zh-CN"/>
        </w:rPr>
        <w:t>202</w:t>
      </w:r>
      <w:r w:rsidR="005C563B">
        <w:rPr>
          <w:rFonts w:hint="eastAsia"/>
          <w:sz w:val="28"/>
          <w:szCs w:val="28"/>
          <w:lang w:val="zh-CN"/>
        </w:rPr>
        <w:t>3</w:t>
      </w:r>
      <w:r w:rsidR="002D1C8A" w:rsidRPr="002D1C8A">
        <w:rPr>
          <w:sz w:val="28"/>
          <w:szCs w:val="28"/>
          <w:lang w:val="zh-CN"/>
        </w:rPr>
        <w:t>年本单位没有使用政府性基金预算财政拨款安排的收支。</w:t>
      </w:r>
    </w:p>
    <w:p w:rsidR="00B87C8A" w:rsidRDefault="00900EC5">
      <w:pPr>
        <w:autoSpaceDE w:val="0"/>
        <w:autoSpaceDN w:val="0"/>
        <w:adjustRightInd w:val="0"/>
        <w:spacing w:line="360" w:lineRule="auto"/>
        <w:ind w:firstLineChars="200" w:firstLine="640"/>
        <w:rPr>
          <w:rFonts w:hAnsi="Times New Roman"/>
          <w:sz w:val="32"/>
          <w:szCs w:val="32"/>
          <w:lang w:val="zh-CN"/>
        </w:rPr>
      </w:pPr>
      <w:r>
        <w:rPr>
          <w:rFonts w:ascii="黑体" w:eastAsia="黑体" w:hAnsi="Times New Roman" w:cs="黑体" w:hint="eastAsia"/>
          <w:sz w:val="32"/>
          <w:szCs w:val="32"/>
        </w:rPr>
        <w:t>九</w:t>
      </w:r>
      <w:r w:rsidR="002D1C8A">
        <w:rPr>
          <w:rFonts w:ascii="黑体" w:eastAsia="黑体" w:hAnsi="Times New Roman" w:cs="黑体"/>
          <w:sz w:val="32"/>
          <w:szCs w:val="32"/>
        </w:rPr>
        <w:t>、机关运行经费支出说明</w:t>
      </w:r>
    </w:p>
    <w:p w:rsidR="00B87C8A" w:rsidRPr="002D1C8A" w:rsidRDefault="002D1C8A" w:rsidP="002D1C8A">
      <w:pPr>
        <w:autoSpaceDE w:val="0"/>
        <w:autoSpaceDN w:val="0"/>
        <w:adjustRightInd w:val="0"/>
        <w:spacing w:line="360" w:lineRule="auto"/>
        <w:ind w:firstLineChars="200" w:firstLine="560"/>
        <w:rPr>
          <w:rFonts w:hAnsi="Times New Roman"/>
          <w:sz w:val="28"/>
          <w:szCs w:val="28"/>
          <w:lang w:val="zh-CN"/>
        </w:rPr>
      </w:pPr>
      <w:r w:rsidRPr="002D1C8A">
        <w:rPr>
          <w:rFonts w:hAnsi="Times New Roman"/>
          <w:sz w:val="28"/>
          <w:szCs w:val="28"/>
        </w:rPr>
        <w:t>吉首大学单位性质为财政补助事业单位，部门决算报表没有机关运行经费统计数据。</w:t>
      </w:r>
    </w:p>
    <w:p w:rsidR="00B87C8A" w:rsidRPr="003F4204" w:rsidRDefault="002D1C8A">
      <w:pPr>
        <w:autoSpaceDE w:val="0"/>
        <w:autoSpaceDN w:val="0"/>
        <w:adjustRightInd w:val="0"/>
        <w:spacing w:line="360" w:lineRule="auto"/>
        <w:ind w:firstLineChars="200" w:firstLine="640"/>
        <w:rPr>
          <w:rFonts w:hAnsi="Times New Roman"/>
          <w:color w:val="000000" w:themeColor="text1"/>
          <w:sz w:val="32"/>
          <w:szCs w:val="32"/>
          <w:lang w:val="zh-CN"/>
        </w:rPr>
      </w:pPr>
      <w:r w:rsidRPr="003F4204">
        <w:rPr>
          <w:rFonts w:ascii="黑体" w:eastAsia="黑体" w:hAnsi="Times New Roman" w:cs="黑体"/>
          <w:color w:val="000000" w:themeColor="text1"/>
          <w:sz w:val="32"/>
          <w:szCs w:val="32"/>
        </w:rPr>
        <w:t>十、一般性支出情况</w:t>
      </w:r>
    </w:p>
    <w:p w:rsidR="00B87C8A" w:rsidRPr="002D1C8A" w:rsidRDefault="00C62F1C">
      <w:pPr>
        <w:autoSpaceDE w:val="0"/>
        <w:autoSpaceDN w:val="0"/>
        <w:adjustRightInd w:val="0"/>
        <w:spacing w:line="360" w:lineRule="auto"/>
        <w:ind w:firstLineChars="200" w:firstLine="560"/>
        <w:rPr>
          <w:rFonts w:hAnsi="Times New Roman"/>
          <w:sz w:val="28"/>
          <w:szCs w:val="28"/>
        </w:rPr>
      </w:pPr>
      <w:r w:rsidRPr="00EC77AB">
        <w:rPr>
          <w:sz w:val="28"/>
          <w:szCs w:val="28"/>
        </w:rPr>
        <w:t>202</w:t>
      </w:r>
      <w:r w:rsidR="00987D23" w:rsidRPr="00EC77AB">
        <w:rPr>
          <w:rFonts w:hint="eastAsia"/>
          <w:sz w:val="28"/>
          <w:szCs w:val="28"/>
        </w:rPr>
        <w:t>3</w:t>
      </w:r>
      <w:r w:rsidR="002D1C8A" w:rsidRPr="00EC77AB">
        <w:rPr>
          <w:sz w:val="28"/>
          <w:szCs w:val="28"/>
        </w:rPr>
        <w:t>年本部门</w:t>
      </w:r>
      <w:r w:rsidR="002D1C8A" w:rsidRPr="00EC77AB">
        <w:rPr>
          <w:sz w:val="28"/>
          <w:szCs w:val="28"/>
          <w:lang w:val="zh-CN"/>
        </w:rPr>
        <w:t>一般公共预算财政拨款支出决算</w:t>
      </w:r>
      <w:r w:rsidR="002D1C8A" w:rsidRPr="00EC77AB">
        <w:rPr>
          <w:sz w:val="28"/>
          <w:szCs w:val="28"/>
        </w:rPr>
        <w:t>无</w:t>
      </w:r>
      <w:r w:rsidR="002D1C8A" w:rsidRPr="00EC77AB">
        <w:rPr>
          <w:rFonts w:hAnsi="Times New Roman"/>
          <w:sz w:val="28"/>
          <w:szCs w:val="28"/>
        </w:rPr>
        <w:t>举办节庆、晚会、论坛、赛事活动等相关的</w:t>
      </w:r>
      <w:r w:rsidR="002D1C8A" w:rsidRPr="00EC77AB">
        <w:rPr>
          <w:sz w:val="28"/>
          <w:szCs w:val="28"/>
        </w:rPr>
        <w:t>会议费开支。</w:t>
      </w:r>
    </w:p>
    <w:p w:rsidR="00AB139F" w:rsidRPr="00FD41F4" w:rsidRDefault="002D1C8A" w:rsidP="00FD41F4">
      <w:pPr>
        <w:autoSpaceDE w:val="0"/>
        <w:autoSpaceDN w:val="0"/>
        <w:adjustRightInd w:val="0"/>
        <w:spacing w:line="360" w:lineRule="auto"/>
        <w:ind w:firstLineChars="200" w:firstLine="640"/>
        <w:rPr>
          <w:rFonts w:hAnsi="Times New Roman"/>
          <w:sz w:val="32"/>
          <w:szCs w:val="32"/>
        </w:rPr>
      </w:pPr>
      <w:r>
        <w:rPr>
          <w:rFonts w:ascii="黑体" w:eastAsia="黑体" w:hAnsi="Times New Roman" w:cs="黑体"/>
          <w:sz w:val="32"/>
          <w:szCs w:val="32"/>
        </w:rPr>
        <w:t>十</w:t>
      </w:r>
      <w:r w:rsidR="00900EC5">
        <w:rPr>
          <w:rFonts w:ascii="黑体" w:eastAsia="黑体" w:hAnsi="Times New Roman" w:cs="黑体" w:hint="eastAsia"/>
          <w:sz w:val="32"/>
          <w:szCs w:val="32"/>
        </w:rPr>
        <w:t>一</w:t>
      </w:r>
      <w:r>
        <w:rPr>
          <w:rFonts w:ascii="黑体" w:eastAsia="黑体" w:hAnsi="Times New Roman" w:cs="黑体"/>
          <w:sz w:val="32"/>
          <w:szCs w:val="32"/>
        </w:rPr>
        <w:t>、关于政府采购支出说明</w:t>
      </w:r>
    </w:p>
    <w:p w:rsidR="00B87C8A" w:rsidRPr="002D1C8A" w:rsidRDefault="00AB139F" w:rsidP="00AB139F">
      <w:pPr>
        <w:autoSpaceDE w:val="0"/>
        <w:autoSpaceDN w:val="0"/>
        <w:adjustRightInd w:val="0"/>
        <w:spacing w:line="360" w:lineRule="auto"/>
        <w:ind w:firstLineChars="200" w:firstLine="560"/>
        <w:rPr>
          <w:rFonts w:hAnsi="Times New Roman"/>
          <w:sz w:val="28"/>
          <w:szCs w:val="28"/>
        </w:rPr>
      </w:pPr>
      <w:r w:rsidRPr="00AB139F">
        <w:rPr>
          <w:rFonts w:hAnsi="Times New Roman"/>
          <w:sz w:val="28"/>
          <w:szCs w:val="28"/>
        </w:rPr>
        <w:t>202</w:t>
      </w:r>
      <w:r w:rsidR="00987D23">
        <w:rPr>
          <w:rFonts w:hAnsi="Times New Roman" w:hint="eastAsia"/>
          <w:sz w:val="28"/>
          <w:szCs w:val="28"/>
        </w:rPr>
        <w:t>3</w:t>
      </w:r>
      <w:r w:rsidRPr="00AB139F">
        <w:rPr>
          <w:rFonts w:hAnsi="Times New Roman"/>
          <w:sz w:val="28"/>
          <w:szCs w:val="28"/>
        </w:rPr>
        <w:t>年度政府采购支出总额</w:t>
      </w:r>
      <w:r w:rsidR="00987D23" w:rsidRPr="00987D23">
        <w:rPr>
          <w:rFonts w:hAnsi="Times New Roman"/>
          <w:sz w:val="28"/>
          <w:szCs w:val="28"/>
        </w:rPr>
        <w:t>22,816.81</w:t>
      </w:r>
      <w:r w:rsidRPr="00AB139F">
        <w:rPr>
          <w:rFonts w:hAnsi="Times New Roman"/>
          <w:sz w:val="28"/>
          <w:szCs w:val="28"/>
        </w:rPr>
        <w:t>万元，其中：政府采购货物支出</w:t>
      </w:r>
      <w:r w:rsidR="00987D23" w:rsidRPr="00987D23">
        <w:rPr>
          <w:rFonts w:hAnsi="Times New Roman"/>
          <w:sz w:val="28"/>
          <w:szCs w:val="28"/>
        </w:rPr>
        <w:t>10,987.51</w:t>
      </w:r>
      <w:r w:rsidRPr="00AB139F">
        <w:rPr>
          <w:rFonts w:hAnsi="Times New Roman"/>
          <w:sz w:val="28"/>
          <w:szCs w:val="28"/>
        </w:rPr>
        <w:t>万元；政府采购工程支出</w:t>
      </w:r>
      <w:r w:rsidR="00987D23" w:rsidRPr="00987D23">
        <w:rPr>
          <w:rFonts w:hAnsi="Times New Roman"/>
          <w:sz w:val="28"/>
          <w:szCs w:val="28"/>
        </w:rPr>
        <w:t>6,146.93</w:t>
      </w:r>
      <w:r w:rsidRPr="00AB139F">
        <w:rPr>
          <w:rFonts w:hAnsi="Times New Roman"/>
          <w:sz w:val="28"/>
          <w:szCs w:val="28"/>
        </w:rPr>
        <w:t>万元；政府采购服务支出</w:t>
      </w:r>
      <w:r w:rsidR="00987D23" w:rsidRPr="00987D23">
        <w:rPr>
          <w:rFonts w:hAnsi="Times New Roman"/>
          <w:sz w:val="28"/>
          <w:szCs w:val="28"/>
        </w:rPr>
        <w:t>5,682.37</w:t>
      </w:r>
      <w:r w:rsidRPr="00AB139F">
        <w:rPr>
          <w:rFonts w:hAnsi="Times New Roman"/>
          <w:sz w:val="28"/>
          <w:szCs w:val="28"/>
        </w:rPr>
        <w:t>万元；授予中小企业合同金额</w:t>
      </w:r>
      <w:r w:rsidR="00987D23" w:rsidRPr="00987D23">
        <w:rPr>
          <w:rFonts w:hAnsi="Times New Roman"/>
          <w:sz w:val="28"/>
          <w:szCs w:val="28"/>
        </w:rPr>
        <w:t>10,987.14</w:t>
      </w:r>
      <w:r w:rsidRPr="00AB139F">
        <w:rPr>
          <w:rFonts w:hAnsi="Times New Roman"/>
          <w:sz w:val="28"/>
          <w:szCs w:val="28"/>
        </w:rPr>
        <w:t>万元，占政府采购支出总额的</w:t>
      </w:r>
      <w:r w:rsidR="00987D23" w:rsidRPr="00987D23">
        <w:rPr>
          <w:rFonts w:hAnsi="Times New Roman"/>
          <w:sz w:val="28"/>
          <w:szCs w:val="28"/>
        </w:rPr>
        <w:t>48.15%</w:t>
      </w:r>
      <w:r w:rsidRPr="00AB139F">
        <w:rPr>
          <w:rFonts w:hAnsi="Times New Roman"/>
          <w:sz w:val="28"/>
          <w:szCs w:val="28"/>
        </w:rPr>
        <w:t>，</w:t>
      </w:r>
      <w:r w:rsidRPr="00AB139F">
        <w:rPr>
          <w:rFonts w:hAnsi="Times New Roman" w:hint="eastAsia"/>
          <w:sz w:val="28"/>
          <w:szCs w:val="28"/>
        </w:rPr>
        <w:t>其中：授予小</w:t>
      </w:r>
      <w:proofErr w:type="gramStart"/>
      <w:r w:rsidRPr="00AB139F">
        <w:rPr>
          <w:rFonts w:hAnsi="Times New Roman" w:hint="eastAsia"/>
          <w:sz w:val="28"/>
          <w:szCs w:val="28"/>
        </w:rPr>
        <w:t>微企业</w:t>
      </w:r>
      <w:proofErr w:type="gramEnd"/>
      <w:r w:rsidRPr="00AB139F">
        <w:rPr>
          <w:rFonts w:hAnsi="Times New Roman" w:hint="eastAsia"/>
          <w:sz w:val="28"/>
          <w:szCs w:val="28"/>
        </w:rPr>
        <w:t>合同金额</w:t>
      </w:r>
      <w:r w:rsidR="00987D23" w:rsidRPr="00987D23">
        <w:rPr>
          <w:rFonts w:hAnsi="Times New Roman"/>
          <w:sz w:val="28"/>
          <w:szCs w:val="28"/>
        </w:rPr>
        <w:t>9,541.72</w:t>
      </w:r>
      <w:r w:rsidRPr="00AB139F">
        <w:rPr>
          <w:rFonts w:hAnsi="Times New Roman"/>
          <w:sz w:val="28"/>
          <w:szCs w:val="28"/>
        </w:rPr>
        <w:t>万元，占授予中小企业合同金额的</w:t>
      </w:r>
      <w:r w:rsidR="00987D23" w:rsidRPr="00987D23">
        <w:rPr>
          <w:rFonts w:hAnsi="Times New Roman"/>
          <w:sz w:val="28"/>
          <w:szCs w:val="28"/>
        </w:rPr>
        <w:t>86.84%</w:t>
      </w:r>
      <w:r w:rsidRPr="00AB139F">
        <w:rPr>
          <w:rFonts w:hAnsi="Times New Roman"/>
          <w:sz w:val="28"/>
          <w:szCs w:val="28"/>
        </w:rPr>
        <w:t>。</w:t>
      </w:r>
    </w:p>
    <w:p w:rsidR="00B87C8A" w:rsidRDefault="002D1C8A">
      <w:pPr>
        <w:autoSpaceDE w:val="0"/>
        <w:autoSpaceDN w:val="0"/>
        <w:adjustRightInd w:val="0"/>
        <w:spacing w:line="360" w:lineRule="auto"/>
        <w:ind w:firstLineChars="200" w:firstLine="640"/>
        <w:rPr>
          <w:rFonts w:hAnsi="Times New Roman"/>
          <w:sz w:val="32"/>
          <w:szCs w:val="32"/>
        </w:rPr>
      </w:pPr>
      <w:r>
        <w:rPr>
          <w:rFonts w:ascii="黑体" w:eastAsia="黑体" w:hAnsi="Times New Roman" w:cs="黑体"/>
          <w:sz w:val="32"/>
          <w:szCs w:val="32"/>
        </w:rPr>
        <w:t>十</w:t>
      </w:r>
      <w:r w:rsidR="00900EC5">
        <w:rPr>
          <w:rFonts w:ascii="黑体" w:eastAsia="黑体" w:hAnsi="Times New Roman" w:cs="黑体" w:hint="eastAsia"/>
          <w:sz w:val="32"/>
          <w:szCs w:val="32"/>
        </w:rPr>
        <w:t>二</w:t>
      </w:r>
      <w:r>
        <w:rPr>
          <w:rFonts w:ascii="黑体" w:eastAsia="黑体" w:hAnsi="Times New Roman" w:cs="黑体"/>
          <w:sz w:val="32"/>
          <w:szCs w:val="32"/>
        </w:rPr>
        <w:t>、关于国有资产占有情况说明</w:t>
      </w:r>
    </w:p>
    <w:p w:rsidR="00B87C8A" w:rsidRPr="002D1C8A" w:rsidRDefault="00AB139F" w:rsidP="00AB139F">
      <w:pPr>
        <w:autoSpaceDE w:val="0"/>
        <w:autoSpaceDN w:val="0"/>
        <w:adjustRightInd w:val="0"/>
        <w:spacing w:line="360" w:lineRule="auto"/>
        <w:ind w:firstLineChars="200" w:firstLine="560"/>
        <w:rPr>
          <w:rFonts w:hAnsi="Times New Roman"/>
          <w:sz w:val="28"/>
          <w:szCs w:val="28"/>
        </w:rPr>
      </w:pPr>
      <w:r w:rsidRPr="00AB139F">
        <w:rPr>
          <w:rFonts w:hAnsi="Times New Roman" w:hint="eastAsia"/>
          <w:sz w:val="28"/>
          <w:szCs w:val="28"/>
        </w:rPr>
        <w:t>截至</w:t>
      </w:r>
      <w:r w:rsidRPr="00AB139F">
        <w:rPr>
          <w:rFonts w:hAnsi="Times New Roman"/>
          <w:sz w:val="28"/>
          <w:szCs w:val="28"/>
        </w:rPr>
        <w:t>202</w:t>
      </w:r>
      <w:r w:rsidR="00AF164B">
        <w:rPr>
          <w:rFonts w:hAnsi="Times New Roman" w:hint="eastAsia"/>
          <w:sz w:val="28"/>
          <w:szCs w:val="28"/>
        </w:rPr>
        <w:t>3</w:t>
      </w:r>
      <w:r w:rsidRPr="00AB139F">
        <w:rPr>
          <w:rFonts w:hAnsi="Times New Roman"/>
          <w:sz w:val="28"/>
          <w:szCs w:val="28"/>
        </w:rPr>
        <w:t>年12月31日，吉首大学共有车辆</w:t>
      </w:r>
      <w:r w:rsidR="00AF164B">
        <w:rPr>
          <w:rFonts w:hAnsi="Times New Roman" w:hint="eastAsia"/>
          <w:sz w:val="28"/>
          <w:szCs w:val="28"/>
        </w:rPr>
        <w:t>9</w:t>
      </w:r>
      <w:r w:rsidRPr="00AB139F">
        <w:rPr>
          <w:rFonts w:hAnsi="Times New Roman"/>
          <w:sz w:val="28"/>
          <w:szCs w:val="28"/>
        </w:rPr>
        <w:t>辆。其中：应急保障用车</w:t>
      </w:r>
      <w:r w:rsidR="00AF164B">
        <w:rPr>
          <w:rFonts w:hAnsi="Times New Roman" w:hint="eastAsia"/>
          <w:sz w:val="28"/>
          <w:szCs w:val="28"/>
        </w:rPr>
        <w:t>6</w:t>
      </w:r>
      <w:r w:rsidRPr="00AB139F">
        <w:rPr>
          <w:rFonts w:hAnsi="Times New Roman"/>
          <w:sz w:val="28"/>
          <w:szCs w:val="28"/>
        </w:rPr>
        <w:t>辆、其他用车3辆，其他用车主要是用于机要通信和应急保障之外公务用途的车辆；单价 100 万元(含)以上设备（不含车辆）</w:t>
      </w:r>
      <w:r w:rsidR="00AF164B">
        <w:rPr>
          <w:rFonts w:hAnsi="Times New Roman" w:hint="eastAsia"/>
          <w:sz w:val="28"/>
          <w:szCs w:val="28"/>
        </w:rPr>
        <w:t>5</w:t>
      </w:r>
      <w:r w:rsidRPr="00AB139F">
        <w:rPr>
          <w:rFonts w:hAnsi="Times New Roman"/>
          <w:sz w:val="28"/>
          <w:szCs w:val="28"/>
        </w:rPr>
        <w:t>台（套）。</w:t>
      </w:r>
    </w:p>
    <w:p w:rsidR="0088429C" w:rsidRDefault="0088429C" w:rsidP="0088429C">
      <w:pPr>
        <w:autoSpaceDE w:val="0"/>
        <w:autoSpaceDN w:val="0"/>
        <w:adjustRightInd w:val="0"/>
        <w:spacing w:line="360" w:lineRule="auto"/>
        <w:ind w:firstLineChars="200" w:firstLine="640"/>
        <w:rPr>
          <w:rFonts w:ascii="黑体" w:eastAsia="黑体" w:cs="黑体"/>
          <w:sz w:val="32"/>
          <w:szCs w:val="32"/>
        </w:rPr>
      </w:pPr>
      <w:r>
        <w:rPr>
          <w:rFonts w:ascii="黑体" w:eastAsia="黑体" w:cs="黑体"/>
          <w:sz w:val="32"/>
          <w:szCs w:val="32"/>
        </w:rPr>
        <w:t>十</w:t>
      </w:r>
      <w:r w:rsidR="00900EC5">
        <w:rPr>
          <w:rFonts w:ascii="黑体" w:eastAsia="黑体" w:cs="黑体" w:hint="eastAsia"/>
          <w:sz w:val="32"/>
          <w:szCs w:val="32"/>
        </w:rPr>
        <w:t>三</w:t>
      </w:r>
      <w:r>
        <w:rPr>
          <w:rFonts w:ascii="黑体" w:eastAsia="黑体" w:cs="黑体"/>
          <w:sz w:val="32"/>
          <w:szCs w:val="32"/>
        </w:rPr>
        <w:t>、关于202</w:t>
      </w:r>
      <w:r w:rsidR="00AF164B">
        <w:rPr>
          <w:rFonts w:ascii="黑体" w:eastAsia="黑体" w:cs="黑体" w:hint="eastAsia"/>
          <w:sz w:val="32"/>
          <w:szCs w:val="32"/>
        </w:rPr>
        <w:t>3</w:t>
      </w:r>
      <w:r>
        <w:rPr>
          <w:rFonts w:ascii="黑体" w:eastAsia="黑体" w:cs="黑体"/>
          <w:sz w:val="32"/>
          <w:szCs w:val="32"/>
        </w:rPr>
        <w:t>年度预算绩效情况的说明</w:t>
      </w:r>
    </w:p>
    <w:p w:rsidR="006D3A5F" w:rsidRPr="00515512" w:rsidRDefault="006D3A5F" w:rsidP="00EA1EEC">
      <w:pPr>
        <w:autoSpaceDE w:val="0"/>
        <w:autoSpaceDN w:val="0"/>
        <w:adjustRightInd w:val="0"/>
        <w:spacing w:line="360" w:lineRule="auto"/>
        <w:ind w:firstLineChars="200" w:firstLine="560"/>
        <w:rPr>
          <w:rFonts w:hAnsi="Times New Roman"/>
          <w:sz w:val="28"/>
          <w:szCs w:val="28"/>
        </w:rPr>
      </w:pPr>
      <w:r w:rsidRPr="006D3A5F">
        <w:rPr>
          <w:rFonts w:hAnsi="Times New Roman" w:hint="eastAsia"/>
          <w:sz w:val="28"/>
          <w:szCs w:val="28"/>
        </w:rPr>
        <w:t>2023年学校各项支出符合国家财经法规和财务管理制度及有关专项资金管理办法的规定。严格贯彻《党政机关厉行节约反对浪费条例》，“三公经费”支出只减不增，严控一般性经费支出，努力降低行政运行</w:t>
      </w:r>
      <w:r w:rsidRPr="006D3A5F">
        <w:rPr>
          <w:rFonts w:hAnsi="Times New Roman" w:hint="eastAsia"/>
          <w:sz w:val="28"/>
          <w:szCs w:val="28"/>
        </w:rPr>
        <w:lastRenderedPageBreak/>
        <w:t>成本；与预算执行绩效相结合，对预算执行不好的、资金效益不高的，少安排或不予安排。按照《2023年度部门整体支出绩效自评表》评分标准，综合自评得分98分。主要工作成效如下：</w:t>
      </w:r>
    </w:p>
    <w:p w:rsidR="00CA17BF" w:rsidRPr="00515512" w:rsidRDefault="00CA17BF" w:rsidP="00CA17BF">
      <w:pPr>
        <w:spacing w:line="360" w:lineRule="auto"/>
        <w:ind w:firstLineChars="200" w:firstLine="562"/>
        <w:rPr>
          <w:rFonts w:cs="黑体"/>
          <w:b/>
          <w:sz w:val="28"/>
          <w:szCs w:val="28"/>
        </w:rPr>
      </w:pPr>
      <w:r w:rsidRPr="00515512">
        <w:rPr>
          <w:b/>
          <w:sz w:val="28"/>
          <w:szCs w:val="28"/>
        </w:rPr>
        <w:t>（一）实施全过程绩效管理</w:t>
      </w:r>
    </w:p>
    <w:p w:rsidR="00CA17BF" w:rsidRPr="00EA1EEC" w:rsidRDefault="00CA17BF" w:rsidP="00EA1EEC">
      <w:pPr>
        <w:autoSpaceDE w:val="0"/>
        <w:autoSpaceDN w:val="0"/>
        <w:adjustRightInd w:val="0"/>
        <w:spacing w:line="360" w:lineRule="auto"/>
        <w:ind w:firstLineChars="200" w:firstLine="560"/>
        <w:rPr>
          <w:rFonts w:hAnsi="Times New Roman"/>
          <w:sz w:val="28"/>
          <w:szCs w:val="28"/>
        </w:rPr>
      </w:pPr>
      <w:r w:rsidRPr="00EA1EEC">
        <w:rPr>
          <w:rFonts w:hAnsi="Times New Roman"/>
          <w:sz w:val="28"/>
          <w:szCs w:val="28"/>
        </w:rPr>
        <w:t>1、预算编制时，明确绩效目标。一是明确申报专项预算时，在对项目建设必要性、可行性分析的同时，需列明项目的绩效目标；二是预算项目遴选时，绩效目标设置的清晰、合理、有效，是项目能否立项的重要影响因素；三是学校预算编制草案及明细方案（含项目绩效目标）须报经学校校务会审议、校党委会决议确定；四是项目绩效目标经</w:t>
      </w:r>
      <w:proofErr w:type="gramStart"/>
      <w:r w:rsidRPr="00EA1EEC">
        <w:rPr>
          <w:rFonts w:hAnsi="Times New Roman"/>
          <w:sz w:val="28"/>
          <w:szCs w:val="28"/>
        </w:rPr>
        <w:t>整理成档后作</w:t>
      </w:r>
      <w:proofErr w:type="gramEnd"/>
      <w:r w:rsidRPr="00EA1EEC">
        <w:rPr>
          <w:rFonts w:hAnsi="Times New Roman"/>
          <w:sz w:val="28"/>
          <w:szCs w:val="28"/>
        </w:rPr>
        <w:t>为预算绩效评价依据。</w:t>
      </w:r>
    </w:p>
    <w:p w:rsidR="00CA17BF" w:rsidRPr="00EA1EEC" w:rsidRDefault="00CA17BF" w:rsidP="00EA1EEC">
      <w:pPr>
        <w:autoSpaceDE w:val="0"/>
        <w:autoSpaceDN w:val="0"/>
        <w:adjustRightInd w:val="0"/>
        <w:spacing w:line="360" w:lineRule="auto"/>
        <w:ind w:firstLineChars="200" w:firstLine="560"/>
        <w:rPr>
          <w:rFonts w:hAnsi="Times New Roman"/>
          <w:sz w:val="28"/>
          <w:szCs w:val="28"/>
        </w:rPr>
      </w:pPr>
      <w:r w:rsidRPr="00EA1EEC">
        <w:rPr>
          <w:rFonts w:hAnsi="Times New Roman"/>
          <w:sz w:val="28"/>
          <w:szCs w:val="28"/>
        </w:rPr>
        <w:t>2、预算执行中，实施跟踪问效。年度下达预算后，学校财务部门于年中及下半年及时开展资金执行情况分析、整理和调研，序时公开预算执行情况，分别采取收回预算资金、压缩下年度预算、进行预算调整等方式对预算资金跟踪问效。</w:t>
      </w:r>
    </w:p>
    <w:p w:rsidR="00CA17BF" w:rsidRPr="00EA1EEC" w:rsidRDefault="00CA17BF" w:rsidP="00EA1EEC">
      <w:pPr>
        <w:autoSpaceDE w:val="0"/>
        <w:autoSpaceDN w:val="0"/>
        <w:adjustRightInd w:val="0"/>
        <w:spacing w:line="360" w:lineRule="auto"/>
        <w:ind w:firstLineChars="200" w:firstLine="560"/>
        <w:rPr>
          <w:rFonts w:hAnsi="Times New Roman"/>
          <w:sz w:val="28"/>
          <w:szCs w:val="28"/>
        </w:rPr>
      </w:pPr>
      <w:r w:rsidRPr="00EA1EEC">
        <w:rPr>
          <w:rFonts w:hAnsi="Times New Roman"/>
          <w:sz w:val="28"/>
          <w:szCs w:val="28"/>
        </w:rPr>
        <w:t>3、预算年度间，开展绩效评价。每年末，开展预算执行情况分析，执行情况与下年预算草案挂钩，对部分执行效果差的项目采取预算削减或暂缓项目立项方式实施跟踪问效。组织或协助开展资金预算绩效评价、预算项目执行审计等工作，通过约谈、公开或披露预算项目执行存在的问题等方式，不断强化预算绩效的全过程管理，有效地提高了资金使用的合</w:t>
      </w:r>
      <w:proofErr w:type="gramStart"/>
      <w:r w:rsidRPr="00EA1EEC">
        <w:rPr>
          <w:rFonts w:hAnsi="Times New Roman"/>
          <w:sz w:val="28"/>
          <w:szCs w:val="28"/>
        </w:rPr>
        <w:t>规</w:t>
      </w:r>
      <w:proofErr w:type="gramEnd"/>
      <w:r w:rsidRPr="00EA1EEC">
        <w:rPr>
          <w:rFonts w:hAnsi="Times New Roman"/>
          <w:sz w:val="28"/>
          <w:szCs w:val="28"/>
        </w:rPr>
        <w:t>性、效益性。</w:t>
      </w:r>
    </w:p>
    <w:p w:rsidR="00CA17BF" w:rsidRDefault="00CA17BF" w:rsidP="00CA17BF">
      <w:pPr>
        <w:spacing w:line="360" w:lineRule="auto"/>
        <w:ind w:firstLineChars="200" w:firstLine="562"/>
        <w:rPr>
          <w:rFonts w:cs="黑体"/>
          <w:sz w:val="28"/>
          <w:szCs w:val="28"/>
        </w:rPr>
      </w:pPr>
      <w:r w:rsidRPr="00DC0481">
        <w:rPr>
          <w:b/>
          <w:sz w:val="28"/>
          <w:szCs w:val="28"/>
        </w:rPr>
        <w:t>（二）积极开展</w:t>
      </w:r>
      <w:proofErr w:type="gramStart"/>
      <w:r w:rsidRPr="00DC0481">
        <w:rPr>
          <w:b/>
          <w:sz w:val="28"/>
          <w:szCs w:val="28"/>
        </w:rPr>
        <w:t>高校双</w:t>
      </w:r>
      <w:proofErr w:type="gramEnd"/>
      <w:r w:rsidRPr="00DC0481">
        <w:rPr>
          <w:b/>
          <w:sz w:val="28"/>
          <w:szCs w:val="28"/>
        </w:rPr>
        <w:t>一流建设专项资金绩效评价</w:t>
      </w:r>
    </w:p>
    <w:p w:rsidR="00EA1EEC" w:rsidRDefault="00EA1EEC" w:rsidP="00EA1EEC">
      <w:pPr>
        <w:autoSpaceDE w:val="0"/>
        <w:autoSpaceDN w:val="0"/>
        <w:adjustRightInd w:val="0"/>
        <w:spacing w:line="360" w:lineRule="auto"/>
        <w:ind w:firstLineChars="200" w:firstLine="560"/>
        <w:rPr>
          <w:rFonts w:hAnsi="Times New Roman"/>
          <w:sz w:val="28"/>
          <w:szCs w:val="28"/>
        </w:rPr>
      </w:pPr>
      <w:r w:rsidRPr="00EA1EEC">
        <w:rPr>
          <w:rFonts w:hAnsi="Times New Roman" w:hint="eastAsia"/>
          <w:sz w:val="28"/>
          <w:szCs w:val="28"/>
        </w:rPr>
        <w:t xml:space="preserve">  根据省厅文件要求，积极开展</w:t>
      </w:r>
      <w:proofErr w:type="gramStart"/>
      <w:r w:rsidRPr="00EA1EEC">
        <w:rPr>
          <w:rFonts w:hAnsi="Times New Roman" w:hint="eastAsia"/>
          <w:sz w:val="28"/>
          <w:szCs w:val="28"/>
        </w:rPr>
        <w:t>高校双</w:t>
      </w:r>
      <w:proofErr w:type="gramEnd"/>
      <w:r w:rsidRPr="00EA1EEC">
        <w:rPr>
          <w:rFonts w:hAnsi="Times New Roman" w:hint="eastAsia"/>
          <w:sz w:val="28"/>
          <w:szCs w:val="28"/>
        </w:rPr>
        <w:t>一流建设专项资金绩效评价，</w:t>
      </w:r>
      <w:proofErr w:type="gramStart"/>
      <w:r w:rsidRPr="00EA1EEC">
        <w:rPr>
          <w:rFonts w:hAnsi="Times New Roman" w:hint="eastAsia"/>
          <w:sz w:val="28"/>
          <w:szCs w:val="28"/>
        </w:rPr>
        <w:t>以评促建</w:t>
      </w:r>
      <w:proofErr w:type="gramEnd"/>
      <w:r w:rsidRPr="00EA1EEC">
        <w:rPr>
          <w:rFonts w:hAnsi="Times New Roman" w:hint="eastAsia"/>
          <w:sz w:val="28"/>
          <w:szCs w:val="28"/>
        </w:rPr>
        <w:t>、以评促改。通过专项资金绩效评价的组织实施，对</w:t>
      </w:r>
      <w:proofErr w:type="gramStart"/>
      <w:r w:rsidRPr="00EA1EEC">
        <w:rPr>
          <w:rFonts w:hAnsi="Times New Roman" w:hint="eastAsia"/>
          <w:sz w:val="28"/>
          <w:szCs w:val="28"/>
        </w:rPr>
        <w:t>标学校</w:t>
      </w:r>
      <w:proofErr w:type="gramEnd"/>
      <w:r w:rsidRPr="00EA1EEC">
        <w:rPr>
          <w:rFonts w:hAnsi="Times New Roman" w:hint="eastAsia"/>
          <w:sz w:val="28"/>
          <w:szCs w:val="28"/>
        </w:rPr>
        <w:t>整体资金的预算绩效管理，总结经验，完善预算绩效管理机制。</w:t>
      </w:r>
    </w:p>
    <w:p w:rsidR="006F7EE2" w:rsidRDefault="00EA1EEC" w:rsidP="006F7EE2">
      <w:pPr>
        <w:autoSpaceDE w:val="0"/>
        <w:autoSpaceDN w:val="0"/>
        <w:adjustRightInd w:val="0"/>
        <w:spacing w:line="360" w:lineRule="auto"/>
        <w:ind w:firstLineChars="200" w:firstLine="560"/>
        <w:rPr>
          <w:rFonts w:hAnsi="Times New Roman"/>
          <w:sz w:val="28"/>
          <w:szCs w:val="28"/>
        </w:rPr>
      </w:pPr>
      <w:r w:rsidRPr="00EA1EEC">
        <w:rPr>
          <w:rFonts w:hAnsi="Times New Roman" w:hint="eastAsia"/>
          <w:sz w:val="28"/>
          <w:szCs w:val="28"/>
        </w:rPr>
        <w:lastRenderedPageBreak/>
        <w:t>学校“双一流”建设项目资金预算以《吉首大学服务“三高四新”战略实施方案》《吉首大学“十四五”学科专业建设专项规划（2021—2025年）》《吉首大学预算管理暂行办法》《吉首大学“双一流”学科建设管理办法》为依据，以项目实施推进工作内容和进度为年度预算金额控制数，结合财政专项拨款与学校自筹资金情况，形成年度“双一流”建设项目预算。2023年度，学校以编制了年度“双一流”建设项目资金预算方案，“双一流”建设专项资金年初预算金额为6,111.31万元，实际下拨6,111.31万元（其中省财政厅拨款3,154.31万元，学校自筹经费2,957万元），预算编制科学、合理，预算资金</w:t>
      </w:r>
      <w:proofErr w:type="gramStart"/>
      <w:r w:rsidRPr="00EA1EEC">
        <w:rPr>
          <w:rFonts w:hAnsi="Times New Roman" w:hint="eastAsia"/>
          <w:sz w:val="28"/>
          <w:szCs w:val="28"/>
        </w:rPr>
        <w:t>拨付款</w:t>
      </w:r>
      <w:proofErr w:type="gramEnd"/>
      <w:r w:rsidRPr="00EA1EEC">
        <w:rPr>
          <w:rFonts w:hAnsi="Times New Roman" w:hint="eastAsia"/>
          <w:sz w:val="28"/>
          <w:szCs w:val="28"/>
        </w:rPr>
        <w:t>及时，到位率达100%。</w:t>
      </w:r>
    </w:p>
    <w:p w:rsidR="0088429C" w:rsidRPr="006F7EE2" w:rsidRDefault="00EA1EEC" w:rsidP="006F7EE2">
      <w:pPr>
        <w:autoSpaceDE w:val="0"/>
        <w:autoSpaceDN w:val="0"/>
        <w:adjustRightInd w:val="0"/>
        <w:spacing w:line="360" w:lineRule="auto"/>
        <w:ind w:firstLineChars="200" w:firstLine="560"/>
        <w:rPr>
          <w:rFonts w:hAnsi="Times New Roman"/>
          <w:sz w:val="28"/>
          <w:szCs w:val="28"/>
        </w:rPr>
      </w:pPr>
      <w:r w:rsidRPr="00EA1EEC">
        <w:rPr>
          <w:rFonts w:hint="eastAsia"/>
          <w:sz w:val="28"/>
          <w:szCs w:val="28"/>
        </w:rPr>
        <w:t>根据各归口责任单位和实施单位自查自审，资金支出合理、合理，未发现截留、挪用及损失浪费情况，学校财务严格按照规定，专款专用，对项目实施跟踪问效和中期分析，对年度无法预算执行的项目进行了预算调整，年终对还未完成</w:t>
      </w:r>
      <w:r w:rsidR="007A0BC1">
        <w:rPr>
          <w:rFonts w:hint="eastAsia"/>
          <w:sz w:val="28"/>
          <w:szCs w:val="28"/>
        </w:rPr>
        <w:t>，</w:t>
      </w:r>
      <w:r w:rsidRPr="00EA1EEC">
        <w:rPr>
          <w:rFonts w:hint="eastAsia"/>
          <w:sz w:val="28"/>
          <w:szCs w:val="28"/>
        </w:rPr>
        <w:t>需继续实施且有结余资金的项目执行预算清零，所需资金纳入下年度支出预算。202</w:t>
      </w:r>
      <w:r>
        <w:rPr>
          <w:rFonts w:hint="eastAsia"/>
          <w:sz w:val="28"/>
          <w:szCs w:val="28"/>
        </w:rPr>
        <w:t>3</w:t>
      </w:r>
      <w:r w:rsidRPr="00EA1EEC">
        <w:rPr>
          <w:rFonts w:hint="eastAsia"/>
          <w:sz w:val="28"/>
          <w:szCs w:val="28"/>
        </w:rPr>
        <w:t>年度专项资金使用情况见下表：</w:t>
      </w:r>
    </w:p>
    <w:p w:rsidR="00CA17BF" w:rsidRDefault="00CA17BF" w:rsidP="002C047B">
      <w:pPr>
        <w:adjustRightInd w:val="0"/>
        <w:snapToGrid w:val="0"/>
        <w:spacing w:line="600" w:lineRule="exact"/>
        <w:jc w:val="center"/>
        <w:rPr>
          <w:b/>
        </w:rPr>
      </w:pPr>
      <w:r>
        <w:rPr>
          <w:b/>
        </w:rPr>
        <w:t>吉首大学202</w:t>
      </w:r>
      <w:r>
        <w:rPr>
          <w:rFonts w:hint="eastAsia"/>
          <w:b/>
        </w:rPr>
        <w:t>3</w:t>
      </w:r>
      <w:r>
        <w:rPr>
          <w:b/>
        </w:rPr>
        <w:t>年 “双一流"专项项目执行明细表</w:t>
      </w:r>
    </w:p>
    <w:p w:rsidR="00CA17BF" w:rsidRDefault="00CA17BF" w:rsidP="00CA17BF">
      <w:pPr>
        <w:ind w:right="420"/>
        <w:jc w:val="center"/>
        <w:rPr>
          <w:b/>
          <w:szCs w:val="21"/>
        </w:rPr>
      </w:pPr>
      <w:r>
        <w:rPr>
          <w:b/>
          <w:szCs w:val="21"/>
        </w:rPr>
        <w:t xml:space="preserve">                                                        单位：万元</w:t>
      </w:r>
    </w:p>
    <w:tbl>
      <w:tblPr>
        <w:tblpPr w:leftFromText="180" w:rightFromText="180" w:vertAnchor="text" w:horzAnchor="margin" w:tblpXSpec="center" w:tblpY="141"/>
        <w:tblW w:w="5204" w:type="pct"/>
        <w:jc w:val="center"/>
        <w:tblLayout w:type="fixed"/>
        <w:tblLook w:val="0000" w:firstRow="0" w:lastRow="0" w:firstColumn="0" w:lastColumn="0" w:noHBand="0" w:noVBand="0"/>
      </w:tblPr>
      <w:tblGrid>
        <w:gridCol w:w="1332"/>
        <w:gridCol w:w="2154"/>
        <w:gridCol w:w="1175"/>
        <w:gridCol w:w="1193"/>
        <w:gridCol w:w="1228"/>
        <w:gridCol w:w="1058"/>
        <w:gridCol w:w="1077"/>
      </w:tblGrid>
      <w:tr w:rsidR="00CA17BF" w:rsidTr="002C047B">
        <w:trPr>
          <w:trHeight w:val="414"/>
          <w:jc w:val="center"/>
        </w:trPr>
        <w:tc>
          <w:tcPr>
            <w:tcW w:w="722"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类别</w:t>
            </w: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项目名称</w:t>
            </w:r>
          </w:p>
        </w:tc>
        <w:tc>
          <w:tcPr>
            <w:tcW w:w="637" w:type="pct"/>
            <w:tcBorders>
              <w:top w:val="single" w:sz="4" w:space="0" w:color="auto"/>
              <w:left w:val="nil"/>
              <w:bottom w:val="single" w:sz="4" w:space="0" w:color="auto"/>
              <w:right w:val="single" w:sz="4" w:space="0" w:color="auto"/>
            </w:tcBorders>
            <w:noWrap/>
            <w:vAlign w:val="center"/>
          </w:tcPr>
          <w:p w:rsidR="00CA17BF" w:rsidRDefault="00CA17BF" w:rsidP="002C047B">
            <w:pPr>
              <w:spacing w:line="300" w:lineRule="exact"/>
              <w:jc w:val="center"/>
              <w:rPr>
                <w:color w:val="000000"/>
              </w:rPr>
            </w:pPr>
            <w:r>
              <w:rPr>
                <w:rFonts w:hint="eastAsia"/>
                <w:color w:val="000000"/>
              </w:rPr>
              <w:t>预算金额</w:t>
            </w:r>
          </w:p>
          <w:p w:rsidR="00CA17BF" w:rsidRDefault="00CA17BF" w:rsidP="002C047B">
            <w:pPr>
              <w:spacing w:line="300" w:lineRule="exact"/>
              <w:jc w:val="center"/>
              <w:rPr>
                <w:color w:val="000000"/>
              </w:rPr>
            </w:pPr>
            <w:r>
              <w:rPr>
                <w:rFonts w:hint="eastAsia"/>
                <w:color w:val="000000"/>
              </w:rPr>
              <w:t>（万元）</w:t>
            </w:r>
          </w:p>
        </w:tc>
        <w:tc>
          <w:tcPr>
            <w:tcW w:w="647"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实际下拨（万元）</w:t>
            </w:r>
          </w:p>
        </w:tc>
        <w:tc>
          <w:tcPr>
            <w:tcW w:w="666"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实际支出</w:t>
            </w:r>
          </w:p>
          <w:p w:rsidR="00CA17BF" w:rsidRDefault="00CA17BF" w:rsidP="002C047B">
            <w:pPr>
              <w:spacing w:line="300" w:lineRule="exact"/>
              <w:jc w:val="center"/>
              <w:rPr>
                <w:color w:val="000000"/>
              </w:rPr>
            </w:pPr>
            <w:r>
              <w:rPr>
                <w:rFonts w:hint="eastAsia"/>
                <w:color w:val="000000"/>
              </w:rPr>
              <w:t>（万元）</w:t>
            </w:r>
          </w:p>
        </w:tc>
        <w:tc>
          <w:tcPr>
            <w:tcW w:w="57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预算执行率</w:t>
            </w:r>
          </w:p>
        </w:tc>
        <w:tc>
          <w:tcPr>
            <w:tcW w:w="58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综合执行率</w:t>
            </w:r>
          </w:p>
        </w:tc>
      </w:tr>
      <w:tr w:rsidR="00CA17BF" w:rsidTr="002C047B">
        <w:trPr>
          <w:trHeight w:val="567"/>
          <w:jc w:val="center"/>
        </w:trPr>
        <w:tc>
          <w:tcPr>
            <w:tcW w:w="722" w:type="pct"/>
            <w:vMerge w:val="restart"/>
            <w:tcBorders>
              <w:top w:val="nil"/>
              <w:left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高水平师资队伍建设（3946万元）</w:t>
            </w: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高层次人才特殊报酬</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2710.00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2710.00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1943.56</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71.72%</w:t>
            </w:r>
          </w:p>
        </w:tc>
        <w:tc>
          <w:tcPr>
            <w:tcW w:w="584" w:type="pct"/>
            <w:vMerge w:val="restart"/>
            <w:tcBorders>
              <w:top w:val="nil"/>
              <w:left w:val="nil"/>
              <w:right w:val="single" w:sz="4" w:space="0" w:color="auto"/>
            </w:tcBorders>
            <w:vAlign w:val="center"/>
          </w:tcPr>
          <w:p w:rsidR="00CA17BF" w:rsidRDefault="00CA17BF" w:rsidP="002C047B">
            <w:pPr>
              <w:spacing w:line="300" w:lineRule="exact"/>
              <w:jc w:val="center"/>
            </w:pPr>
            <w:r>
              <w:rPr>
                <w:rFonts w:hint="eastAsia"/>
              </w:rPr>
              <w:t>68.65%</w:t>
            </w:r>
          </w:p>
        </w:tc>
      </w:tr>
      <w:tr w:rsidR="00CA17BF" w:rsidTr="002C047B">
        <w:trPr>
          <w:trHeight w:val="567"/>
          <w:jc w:val="center"/>
        </w:trPr>
        <w:tc>
          <w:tcPr>
            <w:tcW w:w="722" w:type="pct"/>
            <w:vMerge/>
            <w:tcBorders>
              <w:left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人才引进专项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800.00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800.00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567.57</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70.95%</w:t>
            </w:r>
          </w:p>
        </w:tc>
        <w:tc>
          <w:tcPr>
            <w:tcW w:w="584" w:type="pct"/>
            <w:vMerge/>
            <w:tcBorders>
              <w:left w:val="nil"/>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特聘专家经费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436.00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436.00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197.65</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45.33%</w:t>
            </w:r>
          </w:p>
        </w:tc>
        <w:tc>
          <w:tcPr>
            <w:tcW w:w="584" w:type="pct"/>
            <w:vMerge/>
            <w:tcBorders>
              <w:left w:val="nil"/>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val="restart"/>
            <w:tcBorders>
              <w:top w:val="nil"/>
              <w:left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学科建设</w:t>
            </w:r>
            <w:r>
              <w:rPr>
                <w:rFonts w:hint="eastAsia"/>
                <w:color w:val="000000"/>
              </w:rPr>
              <w:lastRenderedPageBreak/>
              <w:t>（775万元）</w:t>
            </w: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lastRenderedPageBreak/>
              <w:t>学科建设经费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385.00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385.00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345.86</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89.83%</w:t>
            </w:r>
          </w:p>
        </w:tc>
        <w:tc>
          <w:tcPr>
            <w:tcW w:w="584" w:type="pct"/>
            <w:vMerge w:val="restart"/>
            <w:tcBorders>
              <w:top w:val="nil"/>
              <w:left w:val="nil"/>
              <w:right w:val="single" w:sz="4" w:space="0" w:color="auto"/>
            </w:tcBorders>
            <w:vAlign w:val="center"/>
          </w:tcPr>
          <w:p w:rsidR="00CA17BF" w:rsidRDefault="00CA17BF" w:rsidP="002C047B">
            <w:pPr>
              <w:spacing w:line="300" w:lineRule="exact"/>
              <w:jc w:val="center"/>
            </w:pPr>
            <w:r>
              <w:rPr>
                <w:rFonts w:hint="eastAsia"/>
              </w:rPr>
              <w:t>94.95%</w:t>
            </w:r>
          </w:p>
        </w:tc>
      </w:tr>
      <w:tr w:rsidR="00CA17BF" w:rsidTr="002C047B">
        <w:trPr>
          <w:trHeight w:val="567"/>
          <w:jc w:val="center"/>
        </w:trPr>
        <w:tc>
          <w:tcPr>
            <w:tcW w:w="722" w:type="pct"/>
            <w:vMerge/>
            <w:tcBorders>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图书购置费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390.00</w:t>
            </w:r>
          </w:p>
        </w:tc>
        <w:tc>
          <w:tcPr>
            <w:tcW w:w="647"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390.00</w:t>
            </w:r>
          </w:p>
        </w:tc>
        <w:tc>
          <w:tcPr>
            <w:tcW w:w="666"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390.00</w:t>
            </w:r>
          </w:p>
        </w:tc>
        <w:tc>
          <w:tcPr>
            <w:tcW w:w="57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vMerge/>
            <w:tcBorders>
              <w:left w:val="nil"/>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90"/>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lastRenderedPageBreak/>
              <w:t>高素质应用人才培养能力建设</w:t>
            </w:r>
          </w:p>
          <w:p w:rsidR="00CA17BF" w:rsidRDefault="00CA17BF" w:rsidP="002C047B">
            <w:pPr>
              <w:spacing w:line="300" w:lineRule="exact"/>
              <w:jc w:val="center"/>
              <w:rPr>
                <w:color w:val="000000"/>
              </w:rPr>
            </w:pPr>
            <w:r>
              <w:rPr>
                <w:rFonts w:hint="eastAsia"/>
                <w:color w:val="000000"/>
              </w:rPr>
              <w:t>（1028万元）</w:t>
            </w:r>
          </w:p>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互联网+创新创业大赛专项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15.00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15.00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11.13</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74.22%</w:t>
            </w:r>
          </w:p>
        </w:tc>
        <w:tc>
          <w:tcPr>
            <w:tcW w:w="584" w:type="pct"/>
            <w:vMerge w:val="restar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92.74%</w:t>
            </w: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创业支持专项经费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15.00</w:t>
            </w:r>
          </w:p>
        </w:tc>
        <w:tc>
          <w:tcPr>
            <w:tcW w:w="647"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15.00</w:t>
            </w:r>
          </w:p>
        </w:tc>
        <w:tc>
          <w:tcPr>
            <w:tcW w:w="666"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5.81</w:t>
            </w:r>
          </w:p>
        </w:tc>
        <w:tc>
          <w:tcPr>
            <w:tcW w:w="57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38.73%</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挑战</w:t>
            </w:r>
            <w:proofErr w:type="gramStart"/>
            <w:r>
              <w:rPr>
                <w:rFonts w:hint="eastAsia"/>
              </w:rPr>
              <w:t>杯创业</w:t>
            </w:r>
            <w:proofErr w:type="gramEnd"/>
            <w:r>
              <w:rPr>
                <w:rFonts w:hint="eastAsia"/>
              </w:rPr>
              <w:t>大赛专项</w:t>
            </w:r>
          </w:p>
        </w:tc>
        <w:tc>
          <w:tcPr>
            <w:tcW w:w="637" w:type="pct"/>
            <w:tcBorders>
              <w:top w:val="single" w:sz="4" w:space="0" w:color="auto"/>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17.00</w:t>
            </w:r>
          </w:p>
        </w:tc>
        <w:tc>
          <w:tcPr>
            <w:tcW w:w="647"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17.00</w:t>
            </w:r>
          </w:p>
        </w:tc>
        <w:tc>
          <w:tcPr>
            <w:tcW w:w="666"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17.00</w:t>
            </w:r>
          </w:p>
        </w:tc>
        <w:tc>
          <w:tcPr>
            <w:tcW w:w="57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学生艺术团专项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6.00</w:t>
            </w:r>
          </w:p>
        </w:tc>
        <w:tc>
          <w:tcPr>
            <w:tcW w:w="647"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6.00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6.00</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青年马克思主义者培训费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4.00</w:t>
            </w:r>
          </w:p>
        </w:tc>
        <w:tc>
          <w:tcPr>
            <w:tcW w:w="64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4.00</w:t>
            </w:r>
          </w:p>
        </w:tc>
        <w:tc>
          <w:tcPr>
            <w:tcW w:w="666"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4.00</w:t>
            </w:r>
          </w:p>
        </w:tc>
        <w:tc>
          <w:tcPr>
            <w:tcW w:w="574"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一流专业建设经费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500.00</w:t>
            </w:r>
          </w:p>
        </w:tc>
        <w:tc>
          <w:tcPr>
            <w:tcW w:w="64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500.00</w:t>
            </w:r>
          </w:p>
        </w:tc>
        <w:tc>
          <w:tcPr>
            <w:tcW w:w="666"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459.37</w:t>
            </w:r>
          </w:p>
        </w:tc>
        <w:tc>
          <w:tcPr>
            <w:tcW w:w="574"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91.87%</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高等教育质量与创新计划</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93.00</w:t>
            </w:r>
          </w:p>
        </w:tc>
        <w:tc>
          <w:tcPr>
            <w:tcW w:w="64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93.00</w:t>
            </w:r>
          </w:p>
        </w:tc>
        <w:tc>
          <w:tcPr>
            <w:tcW w:w="666"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89.28</w:t>
            </w:r>
          </w:p>
        </w:tc>
        <w:tc>
          <w:tcPr>
            <w:tcW w:w="574"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96.00%</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大学生学科竞赛专项经费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200.00</w:t>
            </w:r>
          </w:p>
        </w:tc>
        <w:tc>
          <w:tcPr>
            <w:tcW w:w="64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200.00</w:t>
            </w:r>
          </w:p>
        </w:tc>
        <w:tc>
          <w:tcPr>
            <w:tcW w:w="666"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189.16</w:t>
            </w:r>
          </w:p>
        </w:tc>
        <w:tc>
          <w:tcPr>
            <w:tcW w:w="574"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94.58%</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教师教学竞赛专项经费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26.00</w:t>
            </w:r>
          </w:p>
        </w:tc>
        <w:tc>
          <w:tcPr>
            <w:tcW w:w="64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26.00</w:t>
            </w:r>
          </w:p>
        </w:tc>
        <w:tc>
          <w:tcPr>
            <w:tcW w:w="666"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26.00</w:t>
            </w:r>
          </w:p>
        </w:tc>
        <w:tc>
          <w:tcPr>
            <w:tcW w:w="574"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省级研究生教育改革项目专项经费</w:t>
            </w:r>
          </w:p>
        </w:tc>
        <w:tc>
          <w:tcPr>
            <w:tcW w:w="637" w:type="pct"/>
            <w:tcBorders>
              <w:top w:val="single" w:sz="4" w:space="0" w:color="auto"/>
              <w:left w:val="single" w:sz="4" w:space="0" w:color="auto"/>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75.00</w:t>
            </w:r>
          </w:p>
        </w:tc>
        <w:tc>
          <w:tcPr>
            <w:tcW w:w="64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75.00</w:t>
            </w:r>
          </w:p>
        </w:tc>
        <w:tc>
          <w:tcPr>
            <w:tcW w:w="666"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73.34</w:t>
            </w:r>
          </w:p>
        </w:tc>
        <w:tc>
          <w:tcPr>
            <w:tcW w:w="574"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97.79%</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省级研究生创新基地及创新项目专项经费</w:t>
            </w:r>
          </w:p>
        </w:tc>
        <w:tc>
          <w:tcPr>
            <w:tcW w:w="637" w:type="pct"/>
            <w:tcBorders>
              <w:top w:val="single" w:sz="4" w:space="0" w:color="auto"/>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31.40</w:t>
            </w:r>
          </w:p>
        </w:tc>
        <w:tc>
          <w:tcPr>
            <w:tcW w:w="647"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31.40</w:t>
            </w:r>
          </w:p>
        </w:tc>
        <w:tc>
          <w:tcPr>
            <w:tcW w:w="666"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27.94</w:t>
            </w:r>
          </w:p>
        </w:tc>
        <w:tc>
          <w:tcPr>
            <w:tcW w:w="57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88.98%</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研究生学科竞赛专项经费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27.00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27.00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26.92</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99.71%</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研究生暑期专业实践活动专项经费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5.00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5.00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5.00</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667"/>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研究生学术活动专项经费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13.60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13.60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12.37</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90.98%</w:t>
            </w:r>
          </w:p>
        </w:tc>
        <w:tc>
          <w:tcPr>
            <w:tcW w:w="584"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科研创新能力建设</w:t>
            </w:r>
          </w:p>
          <w:p w:rsidR="00CA17BF" w:rsidRDefault="00CA17BF" w:rsidP="002C047B">
            <w:pPr>
              <w:spacing w:line="300" w:lineRule="exact"/>
              <w:jc w:val="center"/>
              <w:rPr>
                <w:color w:val="000000"/>
              </w:rPr>
            </w:pPr>
            <w:r>
              <w:rPr>
                <w:rFonts w:hint="eastAsia"/>
                <w:color w:val="000000"/>
              </w:rPr>
              <w:t>（223万元）</w:t>
            </w:r>
          </w:p>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科研平台运行经费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110.00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110.00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79.50</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72.28%</w:t>
            </w:r>
          </w:p>
        </w:tc>
        <w:tc>
          <w:tcPr>
            <w:tcW w:w="584" w:type="pct"/>
            <w:vMerge w:val="restar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81.78%</w:t>
            </w:r>
          </w:p>
        </w:tc>
      </w:tr>
      <w:tr w:rsidR="00CA17BF" w:rsidTr="002C047B">
        <w:trPr>
          <w:trHeight w:val="690"/>
          <w:jc w:val="center"/>
        </w:trPr>
        <w:tc>
          <w:tcPr>
            <w:tcW w:w="722" w:type="pct"/>
            <w:vMerge/>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教育厅课题经费</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pPr>
            <w:r>
              <w:rPr>
                <w:rFonts w:hint="eastAsia"/>
              </w:rPr>
              <w:t>113.00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113.00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102.86</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91.03%</w:t>
            </w:r>
          </w:p>
        </w:tc>
        <w:tc>
          <w:tcPr>
            <w:tcW w:w="584" w:type="pct"/>
            <w:vMerge/>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p>
        </w:tc>
      </w:tr>
      <w:tr w:rsidR="00CA17BF" w:rsidTr="002C047B">
        <w:trPr>
          <w:trHeight w:val="567"/>
          <w:jc w:val="center"/>
        </w:trPr>
        <w:tc>
          <w:tcPr>
            <w:tcW w:w="722" w:type="pct"/>
            <w:tcBorders>
              <w:top w:val="single" w:sz="4" w:space="0" w:color="auto"/>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创新优秀文化传承</w:t>
            </w:r>
          </w:p>
          <w:p w:rsidR="00CA17BF" w:rsidRDefault="00CA17BF" w:rsidP="002C047B">
            <w:pPr>
              <w:spacing w:line="300" w:lineRule="exact"/>
              <w:jc w:val="center"/>
              <w:rPr>
                <w:color w:val="000000"/>
              </w:rPr>
            </w:pPr>
            <w:r>
              <w:rPr>
                <w:rFonts w:hint="eastAsia"/>
                <w:color w:val="000000"/>
              </w:rPr>
              <w:t>（25万元）</w:t>
            </w: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t>大学生社会实践</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25.00</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25.00</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25.00</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c>
          <w:tcPr>
            <w:tcW w:w="584" w:type="pct"/>
            <w:tcBorders>
              <w:top w:val="single" w:sz="4" w:space="0" w:color="auto"/>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100.00%</w:t>
            </w:r>
          </w:p>
        </w:tc>
      </w:tr>
      <w:tr w:rsidR="00CA17BF" w:rsidTr="002C047B">
        <w:trPr>
          <w:trHeight w:val="567"/>
          <w:jc w:val="center"/>
        </w:trPr>
        <w:tc>
          <w:tcPr>
            <w:tcW w:w="722"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r>
              <w:rPr>
                <w:rFonts w:hint="eastAsia"/>
                <w:color w:val="000000"/>
              </w:rPr>
              <w:t>高校“双一流”建设专项（114.31</w:t>
            </w:r>
            <w:r>
              <w:rPr>
                <w:rFonts w:hint="eastAsia"/>
                <w:color w:val="000000"/>
              </w:rPr>
              <w:lastRenderedPageBreak/>
              <w:t>万元）</w:t>
            </w: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pPr>
            <w:r>
              <w:rPr>
                <w:rFonts w:hint="eastAsia"/>
              </w:rPr>
              <w:lastRenderedPageBreak/>
              <w:t>带</w:t>
            </w:r>
            <w:proofErr w:type="gramStart"/>
            <w:r>
              <w:rPr>
                <w:rFonts w:hint="eastAsia"/>
              </w:rPr>
              <w:t>帽项目</w:t>
            </w:r>
            <w:proofErr w:type="gramEnd"/>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kern w:val="2"/>
              </w:rPr>
            </w:pPr>
            <w:r>
              <w:rPr>
                <w:rFonts w:hint="eastAsia"/>
              </w:rPr>
              <w:t>114.31</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kern w:val="2"/>
              </w:rPr>
            </w:pPr>
            <w:r>
              <w:rPr>
                <w:rFonts w:hint="eastAsia"/>
              </w:rPr>
              <w:t>114.31</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61.39</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53.71%</w:t>
            </w:r>
          </w:p>
        </w:tc>
        <w:tc>
          <w:tcPr>
            <w:tcW w:w="584" w:type="pct"/>
            <w:tcBorders>
              <w:top w:val="nil"/>
              <w:left w:val="nil"/>
              <w:bottom w:val="single" w:sz="4" w:space="0" w:color="auto"/>
              <w:right w:val="single" w:sz="4" w:space="0" w:color="auto"/>
            </w:tcBorders>
            <w:vAlign w:val="center"/>
          </w:tcPr>
          <w:p w:rsidR="00CA17BF" w:rsidRDefault="00CA17BF" w:rsidP="002C047B">
            <w:pPr>
              <w:spacing w:line="300" w:lineRule="exact"/>
              <w:jc w:val="center"/>
            </w:pPr>
            <w:r>
              <w:rPr>
                <w:rFonts w:hint="eastAsia"/>
              </w:rPr>
              <w:t>53.71%</w:t>
            </w:r>
          </w:p>
        </w:tc>
      </w:tr>
      <w:tr w:rsidR="00CA17BF" w:rsidTr="002C047B">
        <w:trPr>
          <w:trHeight w:val="927"/>
          <w:jc w:val="center"/>
        </w:trPr>
        <w:tc>
          <w:tcPr>
            <w:tcW w:w="722"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color w:val="000000"/>
              </w:rPr>
            </w:pPr>
          </w:p>
        </w:tc>
        <w:tc>
          <w:tcPr>
            <w:tcW w:w="1167" w:type="pct"/>
            <w:tcBorders>
              <w:top w:val="nil"/>
              <w:left w:val="single" w:sz="4" w:space="0" w:color="auto"/>
              <w:bottom w:val="single" w:sz="4" w:space="0" w:color="auto"/>
              <w:right w:val="single" w:sz="4" w:space="0" w:color="auto"/>
            </w:tcBorders>
            <w:vAlign w:val="center"/>
          </w:tcPr>
          <w:p w:rsidR="00CA17BF" w:rsidRDefault="00CA17BF" w:rsidP="002C047B">
            <w:pPr>
              <w:spacing w:line="300" w:lineRule="exact"/>
              <w:jc w:val="center"/>
              <w:rPr>
                <w:b/>
                <w:bCs/>
                <w:color w:val="000000"/>
              </w:rPr>
            </w:pPr>
            <w:r>
              <w:rPr>
                <w:rFonts w:hint="eastAsia"/>
                <w:b/>
                <w:bCs/>
                <w:color w:val="000000"/>
              </w:rPr>
              <w:t>合计</w:t>
            </w:r>
          </w:p>
        </w:tc>
        <w:tc>
          <w:tcPr>
            <w:tcW w:w="637" w:type="pct"/>
            <w:tcBorders>
              <w:top w:val="nil"/>
              <w:left w:val="nil"/>
              <w:bottom w:val="single" w:sz="4" w:space="0" w:color="auto"/>
              <w:right w:val="single" w:sz="4" w:space="0" w:color="auto"/>
            </w:tcBorders>
            <w:noWrap/>
            <w:vAlign w:val="center"/>
          </w:tcPr>
          <w:p w:rsidR="00CA17BF" w:rsidRDefault="00CA17BF" w:rsidP="002C047B">
            <w:pPr>
              <w:spacing w:line="300" w:lineRule="exact"/>
              <w:jc w:val="center"/>
              <w:rPr>
                <w:b/>
                <w:bCs/>
                <w:color w:val="000000"/>
              </w:rPr>
            </w:pPr>
            <w:r>
              <w:rPr>
                <w:rFonts w:hint="eastAsia"/>
                <w:b/>
                <w:bCs/>
                <w:color w:val="000000"/>
              </w:rPr>
              <w:t>6111.31</w:t>
            </w:r>
          </w:p>
        </w:tc>
        <w:tc>
          <w:tcPr>
            <w:tcW w:w="647"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b/>
                <w:bCs/>
                <w:color w:val="000000"/>
              </w:rPr>
            </w:pPr>
            <w:r>
              <w:rPr>
                <w:rFonts w:hint="eastAsia"/>
                <w:b/>
                <w:bCs/>
                <w:color w:val="000000"/>
              </w:rPr>
              <w:t>6111.31</w:t>
            </w:r>
          </w:p>
        </w:tc>
        <w:tc>
          <w:tcPr>
            <w:tcW w:w="666"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b/>
                <w:bCs/>
                <w:color w:val="000000"/>
              </w:rPr>
            </w:pPr>
            <w:r>
              <w:rPr>
                <w:rFonts w:hint="eastAsia"/>
                <w:b/>
                <w:bCs/>
                <w:color w:val="000000"/>
              </w:rPr>
              <w:t>4666.72</w:t>
            </w:r>
          </w:p>
        </w:tc>
        <w:tc>
          <w:tcPr>
            <w:tcW w:w="574"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b/>
                <w:bCs/>
                <w:color w:val="000000"/>
              </w:rPr>
            </w:pPr>
            <w:r>
              <w:rPr>
                <w:rFonts w:hint="eastAsia"/>
                <w:b/>
                <w:bCs/>
                <w:color w:val="000000"/>
              </w:rPr>
              <w:t>76.36%</w:t>
            </w:r>
          </w:p>
        </w:tc>
        <w:tc>
          <w:tcPr>
            <w:tcW w:w="584" w:type="pct"/>
            <w:tcBorders>
              <w:top w:val="nil"/>
              <w:left w:val="nil"/>
              <w:bottom w:val="single" w:sz="4" w:space="0" w:color="auto"/>
              <w:right w:val="single" w:sz="4" w:space="0" w:color="auto"/>
            </w:tcBorders>
            <w:vAlign w:val="center"/>
          </w:tcPr>
          <w:p w:rsidR="00CA17BF" w:rsidRDefault="00CA17BF" w:rsidP="002C047B">
            <w:pPr>
              <w:spacing w:line="300" w:lineRule="exact"/>
              <w:jc w:val="center"/>
              <w:rPr>
                <w:color w:val="000000"/>
              </w:rPr>
            </w:pPr>
          </w:p>
        </w:tc>
      </w:tr>
    </w:tbl>
    <w:p w:rsidR="00CA17BF" w:rsidRDefault="00CA17BF" w:rsidP="00CA17BF">
      <w:pPr>
        <w:spacing w:line="300" w:lineRule="exact"/>
        <w:ind w:firstLineChars="200" w:firstLine="640"/>
        <w:rPr>
          <w:rFonts w:ascii="仿宋" w:eastAsia="仿宋" w:hAnsi="仿宋"/>
          <w:color w:val="000000"/>
          <w:sz w:val="32"/>
          <w:szCs w:val="32"/>
        </w:rPr>
      </w:pPr>
    </w:p>
    <w:p w:rsidR="0024402D" w:rsidRDefault="0024402D" w:rsidP="0024402D">
      <w:pPr>
        <w:spacing w:line="360" w:lineRule="auto"/>
        <w:ind w:firstLineChars="200" w:firstLine="562"/>
        <w:rPr>
          <w:b/>
          <w:sz w:val="28"/>
          <w:szCs w:val="28"/>
        </w:rPr>
      </w:pPr>
      <w:r w:rsidRPr="007E44E7">
        <w:rPr>
          <w:b/>
          <w:sz w:val="28"/>
          <w:szCs w:val="28"/>
        </w:rPr>
        <w:t>（三）202</w:t>
      </w:r>
      <w:r w:rsidR="00C4178C">
        <w:rPr>
          <w:rFonts w:hint="eastAsia"/>
          <w:b/>
          <w:sz w:val="28"/>
          <w:szCs w:val="28"/>
        </w:rPr>
        <w:t>3</w:t>
      </w:r>
      <w:r w:rsidRPr="007E44E7">
        <w:rPr>
          <w:b/>
          <w:sz w:val="28"/>
          <w:szCs w:val="28"/>
        </w:rPr>
        <w:t>年度主要工作成效</w:t>
      </w:r>
    </w:p>
    <w:p w:rsidR="0024402D" w:rsidRDefault="00535399" w:rsidP="00535399">
      <w:pPr>
        <w:spacing w:line="360" w:lineRule="auto"/>
        <w:ind w:firstLineChars="200" w:firstLine="560"/>
        <w:rPr>
          <w:sz w:val="28"/>
          <w:szCs w:val="28"/>
        </w:rPr>
      </w:pPr>
      <w:r>
        <w:rPr>
          <w:rFonts w:cs="黑体" w:hint="eastAsia"/>
          <w:sz w:val="28"/>
          <w:szCs w:val="28"/>
        </w:rPr>
        <w:t>1、</w:t>
      </w:r>
      <w:r w:rsidR="0024402D" w:rsidRPr="00535399">
        <w:rPr>
          <w:rFonts w:hint="eastAsia"/>
          <w:sz w:val="28"/>
          <w:szCs w:val="28"/>
        </w:rPr>
        <w:t>坚持党的领导党建引领持续增强</w:t>
      </w:r>
    </w:p>
    <w:p w:rsidR="00535399" w:rsidRDefault="00535399" w:rsidP="00535399">
      <w:pPr>
        <w:spacing w:line="360" w:lineRule="auto"/>
        <w:ind w:firstLineChars="200" w:firstLine="560"/>
        <w:rPr>
          <w:sz w:val="28"/>
          <w:szCs w:val="28"/>
        </w:rPr>
      </w:pPr>
      <w:r w:rsidRPr="00535399">
        <w:rPr>
          <w:rFonts w:hint="eastAsia"/>
          <w:sz w:val="28"/>
          <w:szCs w:val="28"/>
        </w:rPr>
        <w:t>深入开展学习贯彻习近平新时代中国特色社会主义思想主题教育，制定了实施方案，成立了工作专班，建立了定期调度、跟踪问效机制，对问题、任务、责任实行清单管理，着力以党的创新理论武装头脑、指导实践、推动工作。纳入检视整改问题清单涉及教学条件、服务地方、学生管理、工资待遇、便民服务、环境整治、子弟入学等54个问题全部办结。主题教育随机测评师生“对党员、干部加强党的创新理论学习”“对专项整治开展情况的评价”100% 为“好”。</w:t>
      </w:r>
    </w:p>
    <w:p w:rsidR="00535399" w:rsidRDefault="00535399" w:rsidP="00535399">
      <w:pPr>
        <w:spacing w:line="360" w:lineRule="auto"/>
        <w:ind w:firstLineChars="200" w:firstLine="560"/>
        <w:rPr>
          <w:sz w:val="28"/>
          <w:szCs w:val="28"/>
        </w:rPr>
      </w:pPr>
      <w:r w:rsidRPr="00535399">
        <w:rPr>
          <w:rFonts w:hint="eastAsia"/>
          <w:sz w:val="28"/>
          <w:szCs w:val="28"/>
        </w:rPr>
        <w:t>2、组织建设得到加强</w:t>
      </w:r>
    </w:p>
    <w:p w:rsidR="00535399" w:rsidRDefault="00535399" w:rsidP="00535399">
      <w:pPr>
        <w:spacing w:line="360" w:lineRule="auto"/>
        <w:ind w:firstLineChars="200" w:firstLine="560"/>
        <w:rPr>
          <w:sz w:val="28"/>
          <w:szCs w:val="28"/>
        </w:rPr>
      </w:pPr>
      <w:r w:rsidRPr="00535399">
        <w:rPr>
          <w:rFonts w:hint="eastAsia"/>
          <w:sz w:val="28"/>
          <w:szCs w:val="28"/>
        </w:rPr>
        <w:t>加强干部队伍建设，实施《吉首大学干部队伍建设规划》，全年提拔处级领导干部15人、科级干部63人，举办以提升素质能力为主题的处级干部、科级干部、教工支部书记、党建工作组织员培训班4期。优化干部队伍结构，轮岗交流处级领导干部12人次，健全科级干部选拔任用工作机制，首次实施全校科级干部轮岗交流。完成20个二级党组织委员会换届选举和135个支部换届工作，选优配强党支部书记。加强基层党建制度化规范化和干部队伍年轻化建设，创新学生辅导员</w:t>
      </w:r>
      <w:proofErr w:type="gramStart"/>
      <w:r w:rsidRPr="00535399">
        <w:rPr>
          <w:rFonts w:hint="eastAsia"/>
          <w:sz w:val="28"/>
          <w:szCs w:val="28"/>
        </w:rPr>
        <w:t>队伍建</w:t>
      </w:r>
      <w:proofErr w:type="gramEnd"/>
      <w:r w:rsidRPr="00535399">
        <w:rPr>
          <w:rFonts w:hint="eastAsia"/>
          <w:sz w:val="28"/>
          <w:szCs w:val="28"/>
        </w:rPr>
        <w:t>强机制，党组织战斗力进一步增强。</w:t>
      </w:r>
    </w:p>
    <w:p w:rsidR="006F7EE2" w:rsidRDefault="00535399" w:rsidP="00535399">
      <w:pPr>
        <w:spacing w:line="360" w:lineRule="auto"/>
        <w:ind w:firstLineChars="200" w:firstLine="560"/>
        <w:rPr>
          <w:sz w:val="28"/>
          <w:szCs w:val="28"/>
        </w:rPr>
      </w:pPr>
      <w:r>
        <w:rPr>
          <w:rFonts w:hint="eastAsia"/>
          <w:sz w:val="28"/>
          <w:szCs w:val="28"/>
        </w:rPr>
        <w:t>3、</w:t>
      </w:r>
      <w:r w:rsidR="006F7EE2" w:rsidRPr="006F7EE2">
        <w:rPr>
          <w:rFonts w:hint="eastAsia"/>
          <w:sz w:val="28"/>
          <w:szCs w:val="28"/>
        </w:rPr>
        <w:t>从严治党成效明显</w:t>
      </w:r>
    </w:p>
    <w:p w:rsidR="00535399" w:rsidRDefault="006F7EE2" w:rsidP="00535399">
      <w:pPr>
        <w:spacing w:line="360" w:lineRule="auto"/>
        <w:ind w:firstLineChars="200" w:firstLine="560"/>
        <w:rPr>
          <w:sz w:val="28"/>
          <w:szCs w:val="28"/>
        </w:rPr>
      </w:pPr>
      <w:r w:rsidRPr="006F7EE2">
        <w:rPr>
          <w:rFonts w:hint="eastAsia"/>
          <w:sz w:val="28"/>
          <w:szCs w:val="28"/>
        </w:rPr>
        <w:lastRenderedPageBreak/>
        <w:t>落实巡视整改责任，省委巡视反馈问题、评估指出的13个具体问题均已完成整改。召开学校全面从严治党大会，部署全面从严治党、党风廉政建设和反腐败工作，做实政治监督、做深日常监督、</w:t>
      </w:r>
      <w:proofErr w:type="gramStart"/>
      <w:r w:rsidRPr="006F7EE2">
        <w:rPr>
          <w:rFonts w:hint="eastAsia"/>
          <w:sz w:val="28"/>
          <w:szCs w:val="28"/>
        </w:rPr>
        <w:t>做准专项</w:t>
      </w:r>
      <w:proofErr w:type="gramEnd"/>
      <w:r w:rsidRPr="006F7EE2">
        <w:rPr>
          <w:rFonts w:hint="eastAsia"/>
          <w:sz w:val="28"/>
          <w:szCs w:val="28"/>
        </w:rPr>
        <w:t>监督、做</w:t>
      </w:r>
      <w:proofErr w:type="gramStart"/>
      <w:r w:rsidRPr="006F7EE2">
        <w:rPr>
          <w:rFonts w:hint="eastAsia"/>
          <w:sz w:val="28"/>
          <w:szCs w:val="28"/>
        </w:rPr>
        <w:t>强基层</w:t>
      </w:r>
      <w:proofErr w:type="gramEnd"/>
      <w:r w:rsidRPr="006F7EE2">
        <w:rPr>
          <w:rFonts w:hint="eastAsia"/>
          <w:sz w:val="28"/>
          <w:szCs w:val="28"/>
        </w:rPr>
        <w:t>监督，完善内控、预防制度，全面准确把握学校党风廉政风险点。扎紧制度笼子，制定《吉首大学纪委委员联系二级学院工作制度》，对教学学院民主生活会进行全覆盖、全过程监督。坚持正风</w:t>
      </w:r>
      <w:proofErr w:type="gramStart"/>
      <w:r w:rsidRPr="006F7EE2">
        <w:rPr>
          <w:rFonts w:hint="eastAsia"/>
          <w:sz w:val="28"/>
          <w:szCs w:val="28"/>
        </w:rPr>
        <w:t>肃</w:t>
      </w:r>
      <w:proofErr w:type="gramEnd"/>
      <w:r w:rsidRPr="006F7EE2">
        <w:rPr>
          <w:rFonts w:hint="eastAsia"/>
          <w:sz w:val="28"/>
          <w:szCs w:val="28"/>
        </w:rPr>
        <w:t>纪，深入开展领导干部利用职权或影响力为亲友牟利、以学谋私、“两带头五整治”纠风防腐、教育乱收费、高等学历继续教育等专项整治，党风政</w:t>
      </w:r>
      <w:proofErr w:type="gramStart"/>
      <w:r w:rsidRPr="006F7EE2">
        <w:rPr>
          <w:rFonts w:hint="eastAsia"/>
          <w:sz w:val="28"/>
          <w:szCs w:val="28"/>
        </w:rPr>
        <w:t>风持续</w:t>
      </w:r>
      <w:proofErr w:type="gramEnd"/>
      <w:r w:rsidRPr="006F7EE2">
        <w:rPr>
          <w:rFonts w:hint="eastAsia"/>
          <w:sz w:val="28"/>
          <w:szCs w:val="28"/>
        </w:rPr>
        <w:t>向好。</w:t>
      </w:r>
    </w:p>
    <w:p w:rsidR="006F7EE2" w:rsidRDefault="006F7EE2" w:rsidP="00535399">
      <w:pPr>
        <w:spacing w:line="360" w:lineRule="auto"/>
        <w:ind w:firstLineChars="200" w:firstLine="560"/>
        <w:rPr>
          <w:sz w:val="28"/>
          <w:szCs w:val="28"/>
        </w:rPr>
      </w:pPr>
      <w:r>
        <w:rPr>
          <w:rFonts w:hint="eastAsia"/>
          <w:sz w:val="28"/>
          <w:szCs w:val="28"/>
        </w:rPr>
        <w:t>4、</w:t>
      </w:r>
      <w:r w:rsidRPr="006F7EE2">
        <w:rPr>
          <w:rFonts w:hint="eastAsia"/>
          <w:sz w:val="28"/>
          <w:szCs w:val="28"/>
        </w:rPr>
        <w:t>学科专业建设实现新突破</w:t>
      </w:r>
    </w:p>
    <w:p w:rsidR="006F7EE2" w:rsidRPr="006F7EE2" w:rsidRDefault="006F7EE2" w:rsidP="00535399">
      <w:pPr>
        <w:spacing w:line="360" w:lineRule="auto"/>
        <w:ind w:firstLineChars="200" w:firstLine="560"/>
        <w:rPr>
          <w:sz w:val="28"/>
          <w:szCs w:val="28"/>
        </w:rPr>
      </w:pPr>
      <w:r w:rsidRPr="006F7EE2">
        <w:rPr>
          <w:rFonts w:hint="eastAsia"/>
          <w:sz w:val="28"/>
          <w:szCs w:val="28"/>
        </w:rPr>
        <w:t>化学学科、工程学学科进入ESI全球前1%，学科专业建设实现新突破。完成学校首轮15个“双一流”建设学科验收考核和第二轮“一流建设学科”遴选确认工作。出台《吉首大学学科专业设置调整优化改革实施方案》《吉首大学关于实施学哲学用哲学“六个一工程”提升全校师生哲学素养的意见》等文件，学科专业建设的协同性、有效性得当增强；建成并实施吉首大学“双一流建设项目库”，出台“双一流”建设项目库管理办法。在第五轮全国学科评估中，学校实现学科评估B类等级零的突破。新增哲学、酿酒工程、中药学三个本科专业。学校获批4门国家级一流课程，8门省级精品在线开放课程、</w:t>
      </w:r>
      <w:proofErr w:type="gramStart"/>
      <w:r w:rsidRPr="006F7EE2">
        <w:rPr>
          <w:rFonts w:hint="eastAsia"/>
          <w:sz w:val="28"/>
          <w:szCs w:val="28"/>
        </w:rPr>
        <w:t>课程思政示范</w:t>
      </w:r>
      <w:proofErr w:type="gramEnd"/>
      <w:r w:rsidRPr="006F7EE2">
        <w:rPr>
          <w:rFonts w:hint="eastAsia"/>
          <w:sz w:val="28"/>
          <w:szCs w:val="28"/>
        </w:rPr>
        <w:t>课程和研究生精品课程，7个湖南省研究生联合培养基地。</w:t>
      </w:r>
    </w:p>
    <w:p w:rsidR="00142C70" w:rsidRDefault="00142C70" w:rsidP="007E538C">
      <w:pPr>
        <w:spacing w:line="360" w:lineRule="auto"/>
        <w:ind w:firstLineChars="200" w:firstLine="560"/>
        <w:rPr>
          <w:sz w:val="28"/>
          <w:szCs w:val="28"/>
        </w:rPr>
      </w:pPr>
      <w:r>
        <w:rPr>
          <w:rFonts w:hint="eastAsia"/>
          <w:sz w:val="28"/>
          <w:szCs w:val="28"/>
        </w:rPr>
        <w:t>5、</w:t>
      </w:r>
      <w:r w:rsidRPr="00142C70">
        <w:rPr>
          <w:rFonts w:hint="eastAsia"/>
          <w:sz w:val="28"/>
          <w:szCs w:val="28"/>
        </w:rPr>
        <w:t>办学影响有新增强</w:t>
      </w:r>
    </w:p>
    <w:p w:rsidR="007E538C" w:rsidRDefault="00142C70" w:rsidP="007E538C">
      <w:pPr>
        <w:spacing w:line="360" w:lineRule="auto"/>
        <w:ind w:firstLineChars="200" w:firstLine="560"/>
        <w:rPr>
          <w:sz w:val="28"/>
          <w:szCs w:val="28"/>
        </w:rPr>
      </w:pPr>
      <w:r w:rsidRPr="00142C70">
        <w:rPr>
          <w:rFonts w:hint="eastAsia"/>
          <w:sz w:val="28"/>
          <w:szCs w:val="28"/>
        </w:rPr>
        <w:t>成功举办办学65周年经验成果展示系列活动。高质量人才培养座谈会，全面总结了学校65年办学经验和育人成效；教学汇报演出全程直播，生动展示了学校人才培养的质量；“情系吉大,时代标高”书画</w:t>
      </w:r>
      <w:r w:rsidRPr="00142C70">
        <w:rPr>
          <w:rFonts w:hint="eastAsia"/>
          <w:sz w:val="28"/>
          <w:szCs w:val="28"/>
        </w:rPr>
        <w:lastRenderedPageBreak/>
        <w:t>展，展示了学校在传承创新优秀民族传统文化和书画艺术上的优秀成果；百</w:t>
      </w:r>
      <w:proofErr w:type="gramStart"/>
      <w:r w:rsidRPr="00142C70">
        <w:rPr>
          <w:rFonts w:hint="eastAsia"/>
          <w:sz w:val="28"/>
          <w:szCs w:val="28"/>
        </w:rPr>
        <w:t>企千岗校友</w:t>
      </w:r>
      <w:proofErr w:type="gramEnd"/>
      <w:r w:rsidRPr="00142C70">
        <w:rPr>
          <w:rFonts w:hint="eastAsia"/>
          <w:sz w:val="28"/>
          <w:szCs w:val="28"/>
        </w:rPr>
        <w:t>企业专场招聘会，达成就业意向970人，拓宽了学生就业渠道；“又见湘西”校友企业家座谈会，107名校友企业家为</w:t>
      </w:r>
      <w:proofErr w:type="gramStart"/>
      <w:r w:rsidRPr="00142C70">
        <w:rPr>
          <w:rFonts w:hint="eastAsia"/>
          <w:sz w:val="28"/>
          <w:szCs w:val="28"/>
        </w:rPr>
        <w:t>湘西州域经济</w:t>
      </w:r>
      <w:proofErr w:type="gramEnd"/>
      <w:r w:rsidRPr="00142C70">
        <w:rPr>
          <w:rFonts w:hint="eastAsia"/>
          <w:sz w:val="28"/>
          <w:szCs w:val="28"/>
        </w:rPr>
        <w:t>发展建言献策，州人民政府高度肯定；俊彦大讲堂正式开讲，张维春等三位在学界享有声誉的校友学者为师生奉献了高品质文化大餐，校园学术文化氛围更加浓厚。</w:t>
      </w:r>
    </w:p>
    <w:p w:rsidR="00905146" w:rsidRDefault="00905146" w:rsidP="007E538C">
      <w:pPr>
        <w:spacing w:line="360" w:lineRule="auto"/>
        <w:ind w:firstLineChars="200" w:firstLine="560"/>
        <w:rPr>
          <w:sz w:val="28"/>
          <w:szCs w:val="28"/>
        </w:rPr>
      </w:pPr>
      <w:r>
        <w:rPr>
          <w:rFonts w:hint="eastAsia"/>
          <w:sz w:val="28"/>
          <w:szCs w:val="28"/>
        </w:rPr>
        <w:t>6、</w:t>
      </w:r>
      <w:r w:rsidRPr="00905146">
        <w:rPr>
          <w:rFonts w:hint="eastAsia"/>
          <w:sz w:val="28"/>
          <w:szCs w:val="28"/>
        </w:rPr>
        <w:t>教学育人有新成果</w:t>
      </w:r>
    </w:p>
    <w:p w:rsidR="007E538C" w:rsidRDefault="00905146" w:rsidP="007E538C">
      <w:pPr>
        <w:spacing w:line="360" w:lineRule="auto"/>
        <w:ind w:firstLineChars="200" w:firstLine="560"/>
        <w:rPr>
          <w:sz w:val="28"/>
          <w:szCs w:val="28"/>
        </w:rPr>
      </w:pPr>
      <w:r w:rsidRPr="00905146">
        <w:rPr>
          <w:rFonts w:hint="eastAsia"/>
          <w:sz w:val="28"/>
          <w:szCs w:val="28"/>
        </w:rPr>
        <w:t>加强立德树人战略谋划，成功召开2023年教学大会，出台了《吉首大学教学奖励办法（2023修订版）》《吉首大学研究生毕业与学位授予管理办法（修订）》《吉首大学研究生综合素质评价实施办法》等一系列教育教学相关文件。新增省级课程</w:t>
      </w:r>
      <w:proofErr w:type="gramStart"/>
      <w:r w:rsidRPr="00905146">
        <w:rPr>
          <w:rFonts w:hint="eastAsia"/>
          <w:sz w:val="28"/>
          <w:szCs w:val="28"/>
        </w:rPr>
        <w:t>思政教学</w:t>
      </w:r>
      <w:proofErr w:type="gramEnd"/>
      <w:r w:rsidRPr="00905146">
        <w:rPr>
          <w:rFonts w:hint="eastAsia"/>
          <w:sz w:val="28"/>
          <w:szCs w:val="28"/>
        </w:rPr>
        <w:t>名师2名和团队2个，新增省级优秀研究生导师6人、导师团队4个。学生学科竞赛成绩喜人，获国家级、省级学科竞赛奖1244项，其中国家级特等奖、一等奖28项，省级特等奖、一等奖170项，“挑战杯”大学生课外学术科技作品竞赛获全国、省“挑战杯”特等奖和一二三等奖18项，学校获湖南省“优胜杯”集体奖；本科生考研录取率达16.17%，比上年提高1.62个百分点。研究生学位论文质量稳步提升，获省级优秀博士、硕士学位论文15篇，被抽检的学位论文全获通过。启动同等学力硕士研究生招生，成功注册76名同等学力人员申请硕士学位。招生类型新增“乡村高中教师公费定向培养计划”。</w:t>
      </w:r>
    </w:p>
    <w:p w:rsidR="006F2879" w:rsidRPr="006F2879" w:rsidRDefault="006F2879" w:rsidP="006F2879">
      <w:pPr>
        <w:spacing w:line="360" w:lineRule="auto"/>
        <w:ind w:firstLineChars="200" w:firstLine="560"/>
        <w:rPr>
          <w:sz w:val="28"/>
          <w:szCs w:val="28"/>
        </w:rPr>
      </w:pPr>
      <w:r>
        <w:rPr>
          <w:rFonts w:hint="eastAsia"/>
          <w:sz w:val="28"/>
          <w:szCs w:val="28"/>
        </w:rPr>
        <w:t>7</w:t>
      </w:r>
      <w:r w:rsidRPr="006F2879">
        <w:rPr>
          <w:rFonts w:hint="eastAsia"/>
          <w:sz w:val="28"/>
          <w:szCs w:val="28"/>
        </w:rPr>
        <w:t>、校园建设与后勤服务成效显著</w:t>
      </w:r>
    </w:p>
    <w:p w:rsidR="007E538C" w:rsidRDefault="006F2879" w:rsidP="00771F5E">
      <w:pPr>
        <w:spacing w:line="360" w:lineRule="auto"/>
        <w:ind w:firstLineChars="200" w:firstLine="560"/>
        <w:rPr>
          <w:sz w:val="28"/>
          <w:szCs w:val="28"/>
        </w:rPr>
      </w:pPr>
      <w:r w:rsidRPr="006F2879">
        <w:rPr>
          <w:rFonts w:hint="eastAsia"/>
          <w:sz w:val="28"/>
          <w:szCs w:val="28"/>
        </w:rPr>
        <w:t>师范学院融入取得决定性成果</w:t>
      </w:r>
      <w:r w:rsidR="007F2DB5">
        <w:rPr>
          <w:rFonts w:hint="eastAsia"/>
          <w:sz w:val="28"/>
          <w:szCs w:val="28"/>
        </w:rPr>
        <w:t>，</w:t>
      </w:r>
      <w:proofErr w:type="gramStart"/>
      <w:r w:rsidRPr="006F2879">
        <w:rPr>
          <w:rFonts w:hint="eastAsia"/>
          <w:sz w:val="28"/>
          <w:szCs w:val="28"/>
        </w:rPr>
        <w:t>州校双方</w:t>
      </w:r>
      <w:proofErr w:type="gramEnd"/>
      <w:r w:rsidRPr="006F2879">
        <w:rPr>
          <w:rFonts w:hint="eastAsia"/>
          <w:sz w:val="28"/>
          <w:szCs w:val="28"/>
        </w:rPr>
        <w:t>已起草校地备忘录，正加紧推进融入工作。全年实现总收入7.53亿元，同比增长15.98%，全年支出首次突破7亿元，资金结构进一步优化，财务弹性进一步增强。投</w:t>
      </w:r>
      <w:r w:rsidRPr="006F2879">
        <w:rPr>
          <w:rFonts w:hint="eastAsia"/>
          <w:sz w:val="28"/>
          <w:szCs w:val="28"/>
        </w:rPr>
        <w:lastRenderedPageBreak/>
        <w:t>入3400余万元改善实验条件，建成11个实验实训室。投入900万元新建教室20间，改造升级智慧教室72间。砂子</w:t>
      </w:r>
      <w:proofErr w:type="gramStart"/>
      <w:r w:rsidRPr="006F2879">
        <w:rPr>
          <w:rFonts w:hint="eastAsia"/>
          <w:sz w:val="28"/>
          <w:szCs w:val="28"/>
        </w:rPr>
        <w:t>坳</w:t>
      </w:r>
      <w:proofErr w:type="gramEnd"/>
      <w:r w:rsidRPr="006F2879">
        <w:rPr>
          <w:rFonts w:hint="eastAsia"/>
          <w:sz w:val="28"/>
          <w:szCs w:val="28"/>
        </w:rPr>
        <w:t>校区15#学生公寓、大田湾校区湘泉花园租赁学生公寓顺利入住</w:t>
      </w:r>
      <w:r w:rsidR="00771F5E">
        <w:rPr>
          <w:rFonts w:hint="eastAsia"/>
          <w:sz w:val="28"/>
          <w:szCs w:val="28"/>
        </w:rPr>
        <w:t>。</w:t>
      </w:r>
      <w:r w:rsidRPr="006F2879">
        <w:rPr>
          <w:rFonts w:hint="eastAsia"/>
          <w:sz w:val="28"/>
          <w:szCs w:val="28"/>
        </w:rPr>
        <w:t>实施十二教学楼前坪停车位、教师公租房围栏拆除及道路硬化、教师周转房、老年活动中心、第十教学楼前坪维修改造等近100个维修改造建设项目，改善了师生居住及交通条件。协调州、市教育部门解决教工子弟就近择优入学问题。</w:t>
      </w:r>
    </w:p>
    <w:p w:rsidR="007E538C" w:rsidRDefault="007E538C" w:rsidP="007E538C">
      <w:pPr>
        <w:spacing w:line="360" w:lineRule="auto"/>
        <w:ind w:firstLineChars="200" w:firstLine="560"/>
        <w:rPr>
          <w:sz w:val="28"/>
          <w:szCs w:val="28"/>
        </w:rPr>
      </w:pPr>
      <w:r>
        <w:rPr>
          <w:rFonts w:hint="eastAsia"/>
          <w:sz w:val="28"/>
          <w:szCs w:val="28"/>
        </w:rPr>
        <w:t>8、</w:t>
      </w:r>
      <w:r w:rsidRPr="007E538C">
        <w:rPr>
          <w:rFonts w:hint="eastAsia"/>
          <w:sz w:val="28"/>
          <w:szCs w:val="28"/>
        </w:rPr>
        <w:t>人才强校战略获得新进展</w:t>
      </w:r>
    </w:p>
    <w:p w:rsidR="007E538C" w:rsidRPr="007E538C" w:rsidRDefault="007E538C" w:rsidP="007E538C">
      <w:pPr>
        <w:spacing w:line="360" w:lineRule="auto"/>
        <w:ind w:firstLineChars="200" w:firstLine="560"/>
        <w:rPr>
          <w:sz w:val="28"/>
          <w:szCs w:val="28"/>
        </w:rPr>
      </w:pPr>
      <w:r w:rsidRPr="007E538C">
        <w:rPr>
          <w:rFonts w:hint="eastAsia"/>
          <w:sz w:val="28"/>
          <w:szCs w:val="28"/>
        </w:rPr>
        <w:t>引进特聘专家6名，博士27名，6名教师经对口支援计划赴中山大学读博，学校博士增至510人（含在读）。新增教授10人、副教授18人，175名教师入选俊彦人才计划2.0版。4位学者入选全球前2%顶尖科学家，1位学者入选全球高被引科学家名单。12名教师新增为湖湘青年英才、湖南省杰青、省三尖人才、芙蓉教学名师、省中青年托举人才计划、省青年骨干教师计划，1人获国务院</w:t>
      </w:r>
      <w:proofErr w:type="gramStart"/>
      <w:r w:rsidRPr="007E538C">
        <w:rPr>
          <w:rFonts w:hint="eastAsia"/>
          <w:sz w:val="28"/>
          <w:szCs w:val="28"/>
        </w:rPr>
        <w:t>殊</w:t>
      </w:r>
      <w:proofErr w:type="gramEnd"/>
      <w:r w:rsidRPr="007E538C">
        <w:rPr>
          <w:rFonts w:hint="eastAsia"/>
          <w:sz w:val="28"/>
          <w:szCs w:val="28"/>
        </w:rPr>
        <w:t>津贴专家称号，1人获芙蓉学者特聘教授计划支持。</w:t>
      </w:r>
    </w:p>
    <w:p w:rsidR="006F7EE2" w:rsidRDefault="007E538C" w:rsidP="007E538C">
      <w:pPr>
        <w:spacing w:line="360" w:lineRule="auto"/>
        <w:ind w:firstLineChars="200" w:firstLine="560"/>
        <w:rPr>
          <w:sz w:val="28"/>
          <w:szCs w:val="28"/>
        </w:rPr>
      </w:pPr>
      <w:r>
        <w:rPr>
          <w:rFonts w:hint="eastAsia"/>
          <w:sz w:val="28"/>
          <w:szCs w:val="28"/>
        </w:rPr>
        <w:t>9、</w:t>
      </w:r>
      <w:r w:rsidRPr="007E538C">
        <w:rPr>
          <w:rFonts w:hint="eastAsia"/>
          <w:sz w:val="28"/>
          <w:szCs w:val="28"/>
        </w:rPr>
        <w:t>科技服务地方取得新成效。新增省部级科研平台4个，建成湖南省首个铸牢中华民族共同体意识研究中心，成立湖南省当代马克思主义研究中心吉首大学基地，与省人大共建民族地区地方立法研究基地。全年获国家自</w:t>
      </w:r>
      <w:proofErr w:type="gramStart"/>
      <w:r w:rsidRPr="007E538C">
        <w:rPr>
          <w:rFonts w:hint="eastAsia"/>
          <w:sz w:val="28"/>
          <w:szCs w:val="28"/>
        </w:rPr>
        <w:t>科基金</w:t>
      </w:r>
      <w:proofErr w:type="gramEnd"/>
      <w:r w:rsidRPr="007E538C">
        <w:rPr>
          <w:rFonts w:hint="eastAsia"/>
          <w:sz w:val="28"/>
          <w:szCs w:val="28"/>
        </w:rPr>
        <w:t>项目19项、社科基金项目16项，领先省内同类高校。获湖南省高校科技创新团队2个。面向社会开放许可专利29件，完成技术合同登记94件，登记金额逾1800万元。深化校地科技合作，与湘西高新区共建吉首大学科技园，围绕湘西十大产业链与湘西州联合筹建白酒、绿色矿业产业技术战略创新联盟，支持湘西</w:t>
      </w:r>
      <w:proofErr w:type="gramStart"/>
      <w:r w:rsidRPr="007E538C">
        <w:rPr>
          <w:rFonts w:hint="eastAsia"/>
          <w:sz w:val="28"/>
          <w:szCs w:val="28"/>
        </w:rPr>
        <w:t>州成功</w:t>
      </w:r>
      <w:proofErr w:type="gramEnd"/>
      <w:r w:rsidRPr="007E538C">
        <w:rPr>
          <w:rFonts w:hint="eastAsia"/>
          <w:sz w:val="28"/>
          <w:szCs w:val="28"/>
        </w:rPr>
        <w:t>申报世界农业非物质文化遗产，承担湘西州政府酒鬼酒品质改良“揭榜挂帅”项目。</w:t>
      </w:r>
    </w:p>
    <w:p w:rsidR="006F2879" w:rsidRDefault="006F2879" w:rsidP="00905146">
      <w:pPr>
        <w:spacing w:line="360" w:lineRule="auto"/>
        <w:ind w:firstLineChars="200" w:firstLine="560"/>
        <w:rPr>
          <w:sz w:val="28"/>
          <w:szCs w:val="28"/>
        </w:rPr>
      </w:pPr>
      <w:r>
        <w:rPr>
          <w:rFonts w:hint="eastAsia"/>
          <w:sz w:val="28"/>
          <w:szCs w:val="28"/>
        </w:rPr>
        <w:lastRenderedPageBreak/>
        <w:t>10、</w:t>
      </w:r>
      <w:r w:rsidRPr="006F2879">
        <w:rPr>
          <w:rFonts w:hint="eastAsia"/>
          <w:sz w:val="28"/>
          <w:szCs w:val="28"/>
        </w:rPr>
        <w:t>平安美丽校园加快建设步伐</w:t>
      </w:r>
    </w:p>
    <w:p w:rsidR="006F2879" w:rsidRDefault="006F2879" w:rsidP="00905146">
      <w:pPr>
        <w:spacing w:line="360" w:lineRule="auto"/>
        <w:ind w:firstLineChars="200" w:firstLine="560"/>
        <w:rPr>
          <w:sz w:val="28"/>
          <w:szCs w:val="28"/>
        </w:rPr>
      </w:pPr>
      <w:r w:rsidRPr="006F2879">
        <w:rPr>
          <w:rFonts w:hint="eastAsia"/>
          <w:sz w:val="28"/>
          <w:szCs w:val="28"/>
        </w:rPr>
        <w:t>与中国工商银行湖南省分行合作推进智慧校园建设。加强校园文化建设，张家界、吉首校区首次同场举办田径运动会。《吉首大学关于进一步加强校园文化建设的实施方案》《吉首大学文化体育艺术活动实施方案》，组织开展“翠竹伴吉大 青年知清廉”主题系列活动，涵养现代大学文化。平安校园建设不断加强，对55万平方米校舍进行了全面安全排查，建成了实验室废水废气净化系统，按要求拆除了D级危房学校临街门面，在省教育厅组织的专家现场实验室安全检查中获得好评。进一步巩固加强校地校警联动“七共”工作模式，国安部、公安部、国家</w:t>
      </w:r>
      <w:proofErr w:type="gramStart"/>
      <w:r w:rsidRPr="006F2879">
        <w:rPr>
          <w:rFonts w:hint="eastAsia"/>
          <w:sz w:val="28"/>
          <w:szCs w:val="28"/>
        </w:rPr>
        <w:t>反恐办等</w:t>
      </w:r>
      <w:proofErr w:type="gramEnd"/>
      <w:r w:rsidRPr="006F2879">
        <w:rPr>
          <w:rFonts w:hint="eastAsia"/>
          <w:sz w:val="28"/>
          <w:szCs w:val="28"/>
        </w:rPr>
        <w:t>多次来校考察调研。</w:t>
      </w:r>
    </w:p>
    <w:p w:rsidR="00CA17BF" w:rsidRPr="00CA17BF" w:rsidRDefault="00CA17BF">
      <w:pPr>
        <w:keepNext/>
        <w:keepLines/>
        <w:autoSpaceDE w:val="0"/>
        <w:autoSpaceDN w:val="0"/>
        <w:adjustRightInd w:val="0"/>
        <w:spacing w:line="360" w:lineRule="auto"/>
        <w:ind w:firstLineChars="200" w:firstLine="560"/>
        <w:rPr>
          <w:sz w:val="28"/>
          <w:szCs w:val="28"/>
        </w:rPr>
        <w:sectPr w:rsidR="00CA17BF" w:rsidRPr="00CA17BF">
          <w:pgSz w:w="12240" w:h="15840"/>
          <w:pgMar w:top="1440" w:right="1800" w:bottom="1440" w:left="1800" w:header="720" w:footer="720" w:gutter="0"/>
          <w:cols w:space="720"/>
        </w:sectPr>
      </w:pPr>
    </w:p>
    <w:p w:rsidR="00B87C8A" w:rsidRDefault="00B87C8A" w:rsidP="002644E6">
      <w:pPr>
        <w:autoSpaceDE w:val="0"/>
        <w:autoSpaceDN w:val="0"/>
        <w:adjustRightInd w:val="0"/>
        <w:rPr>
          <w:rFonts w:ascii="黑体" w:eastAsia="黑体" w:cs="黑体"/>
          <w:sz w:val="84"/>
          <w:szCs w:val="84"/>
        </w:rPr>
      </w:pPr>
    </w:p>
    <w:p w:rsidR="00B87C8A" w:rsidRDefault="00B87C8A" w:rsidP="002644E6">
      <w:pPr>
        <w:autoSpaceDE w:val="0"/>
        <w:autoSpaceDN w:val="0"/>
        <w:adjustRightInd w:val="0"/>
        <w:rPr>
          <w:rFonts w:ascii="黑体" w:eastAsia="黑体" w:cs="黑体"/>
          <w:sz w:val="84"/>
          <w:szCs w:val="84"/>
        </w:rPr>
      </w:pPr>
    </w:p>
    <w:p w:rsidR="00B87C8A" w:rsidRPr="009B5C86" w:rsidRDefault="00B87C8A" w:rsidP="002644E6">
      <w:pPr>
        <w:autoSpaceDE w:val="0"/>
        <w:autoSpaceDN w:val="0"/>
        <w:adjustRightInd w:val="0"/>
        <w:rPr>
          <w:rFonts w:ascii="黑体" w:eastAsia="黑体" w:cs="黑体"/>
          <w:sz w:val="84"/>
          <w:szCs w:val="84"/>
        </w:rPr>
      </w:pPr>
    </w:p>
    <w:p w:rsidR="00B87C8A" w:rsidRDefault="002D1C8A" w:rsidP="002644E6">
      <w:pPr>
        <w:autoSpaceDE w:val="0"/>
        <w:autoSpaceDN w:val="0"/>
        <w:adjustRightInd w:val="0"/>
        <w:jc w:val="center"/>
        <w:rPr>
          <w:rFonts w:ascii="黑体" w:eastAsia="黑体" w:cs="黑体"/>
          <w:sz w:val="84"/>
          <w:szCs w:val="84"/>
        </w:rPr>
      </w:pPr>
      <w:r>
        <w:rPr>
          <w:rFonts w:ascii="黑体" w:eastAsia="黑体" w:cs="黑体"/>
          <w:sz w:val="84"/>
          <w:szCs w:val="84"/>
        </w:rPr>
        <w:t>第四部分</w:t>
      </w:r>
    </w:p>
    <w:p w:rsidR="00B87C8A" w:rsidRDefault="002D1C8A" w:rsidP="00EC77AB">
      <w:pPr>
        <w:autoSpaceDE w:val="0"/>
        <w:autoSpaceDN w:val="0"/>
        <w:adjustRightInd w:val="0"/>
        <w:spacing w:beforeLines="100" w:before="240"/>
        <w:jc w:val="center"/>
        <w:rPr>
          <w:rFonts w:ascii="Times New Roman" w:eastAsia="黑体" w:hAnsi="Times New Roman"/>
          <w:sz w:val="84"/>
          <w:szCs w:val="84"/>
        </w:rPr>
      </w:pPr>
      <w:r>
        <w:rPr>
          <w:rFonts w:ascii="黑体" w:eastAsia="黑体" w:cs="黑体"/>
          <w:sz w:val="84"/>
          <w:szCs w:val="84"/>
        </w:rPr>
        <w:t>名词解释</w:t>
      </w:r>
    </w:p>
    <w:p w:rsidR="00B87C8A" w:rsidRDefault="00B87C8A">
      <w:pPr>
        <w:keepNext/>
        <w:keepLines/>
        <w:autoSpaceDE w:val="0"/>
        <w:autoSpaceDN w:val="0"/>
        <w:adjustRightInd w:val="0"/>
        <w:spacing w:line="360" w:lineRule="auto"/>
        <w:rPr>
          <w:sz w:val="28"/>
          <w:szCs w:val="28"/>
        </w:rPr>
        <w:sectPr w:rsidR="00B87C8A">
          <w:pgSz w:w="12240" w:h="15840"/>
          <w:pgMar w:top="1440" w:right="1800" w:bottom="1440" w:left="1800" w:header="720" w:footer="720" w:gutter="0"/>
          <w:cols w:space="720"/>
        </w:sectPr>
      </w:pP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财政拨款收入：指本级财政当年拨付的资金。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事业收入：指事业单位开展专业业务活动及辅助活动所取得的收入。</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其他收入：指除上述</w:t>
      </w:r>
      <w:r>
        <w:rPr>
          <w:rFonts w:cs="黑体"/>
          <w:sz w:val="28"/>
          <w:szCs w:val="28"/>
        </w:rPr>
        <w:t>“</w:t>
      </w:r>
      <w:r>
        <w:rPr>
          <w:sz w:val="28"/>
          <w:szCs w:val="28"/>
        </w:rPr>
        <w:t>财政拨款收入</w:t>
      </w:r>
      <w:r>
        <w:rPr>
          <w:rFonts w:cs="黑体"/>
          <w:sz w:val="28"/>
          <w:szCs w:val="28"/>
        </w:rPr>
        <w:t>”</w:t>
      </w:r>
      <w:r>
        <w:rPr>
          <w:sz w:val="28"/>
          <w:szCs w:val="28"/>
        </w:rPr>
        <w:t>、</w:t>
      </w:r>
      <w:r>
        <w:rPr>
          <w:rFonts w:cs="黑体"/>
          <w:sz w:val="28"/>
          <w:szCs w:val="28"/>
        </w:rPr>
        <w:t>“</w:t>
      </w:r>
      <w:r>
        <w:rPr>
          <w:sz w:val="28"/>
          <w:szCs w:val="28"/>
        </w:rPr>
        <w:t>上级补助收入</w:t>
      </w:r>
      <w:r>
        <w:rPr>
          <w:rFonts w:cs="黑体"/>
          <w:sz w:val="28"/>
          <w:szCs w:val="28"/>
        </w:rPr>
        <w:t>”</w:t>
      </w:r>
      <w:r>
        <w:rPr>
          <w:sz w:val="28"/>
          <w:szCs w:val="28"/>
        </w:rPr>
        <w:t>、</w:t>
      </w:r>
      <w:r>
        <w:rPr>
          <w:rFonts w:cs="黑体"/>
          <w:sz w:val="28"/>
          <w:szCs w:val="28"/>
        </w:rPr>
        <w:t>“</w:t>
      </w:r>
      <w:r>
        <w:rPr>
          <w:sz w:val="28"/>
          <w:szCs w:val="28"/>
        </w:rPr>
        <w:t>事业收入</w:t>
      </w:r>
      <w:r>
        <w:rPr>
          <w:rFonts w:cs="黑体"/>
          <w:sz w:val="28"/>
          <w:szCs w:val="28"/>
        </w:rPr>
        <w:t>”</w:t>
      </w:r>
      <w:r>
        <w:rPr>
          <w:sz w:val="28"/>
          <w:szCs w:val="28"/>
        </w:rPr>
        <w:t>、</w:t>
      </w:r>
      <w:r>
        <w:rPr>
          <w:rFonts w:cs="黑体"/>
          <w:sz w:val="28"/>
          <w:szCs w:val="28"/>
        </w:rPr>
        <w:t>“</w:t>
      </w:r>
      <w:r>
        <w:rPr>
          <w:sz w:val="28"/>
          <w:szCs w:val="28"/>
        </w:rPr>
        <w:t>经营收入</w:t>
      </w:r>
      <w:r>
        <w:rPr>
          <w:rFonts w:cs="黑体"/>
          <w:sz w:val="28"/>
          <w:szCs w:val="28"/>
        </w:rPr>
        <w:t>”</w:t>
      </w:r>
      <w:r>
        <w:rPr>
          <w:sz w:val="28"/>
          <w:szCs w:val="28"/>
        </w:rPr>
        <w:t>、</w:t>
      </w:r>
      <w:r>
        <w:rPr>
          <w:rFonts w:cs="黑体"/>
          <w:sz w:val="28"/>
          <w:szCs w:val="28"/>
        </w:rPr>
        <w:t>“</w:t>
      </w:r>
      <w:r>
        <w:rPr>
          <w:sz w:val="28"/>
          <w:szCs w:val="28"/>
        </w:rPr>
        <w:t>附属单位上缴收入</w:t>
      </w:r>
      <w:r>
        <w:rPr>
          <w:rFonts w:cs="黑体"/>
          <w:sz w:val="28"/>
          <w:szCs w:val="28"/>
        </w:rPr>
        <w:t>”</w:t>
      </w:r>
      <w:r>
        <w:rPr>
          <w:sz w:val="28"/>
          <w:szCs w:val="28"/>
        </w:rPr>
        <w:t>等以外的收入。</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使用非财政拨款结余：指事业单位在当年的</w:t>
      </w:r>
      <w:r>
        <w:rPr>
          <w:rFonts w:cs="黑体"/>
          <w:sz w:val="28"/>
          <w:szCs w:val="28"/>
        </w:rPr>
        <w:t>“</w:t>
      </w:r>
      <w:r>
        <w:rPr>
          <w:sz w:val="28"/>
          <w:szCs w:val="28"/>
        </w:rPr>
        <w:t>财政拨款收入</w:t>
      </w:r>
      <w:r>
        <w:rPr>
          <w:rFonts w:cs="黑体"/>
          <w:sz w:val="28"/>
          <w:szCs w:val="28"/>
        </w:rPr>
        <w:t>”</w:t>
      </w:r>
      <w:r>
        <w:rPr>
          <w:sz w:val="28"/>
          <w:szCs w:val="28"/>
        </w:rPr>
        <w:t>、</w:t>
      </w:r>
      <w:r>
        <w:rPr>
          <w:rFonts w:cs="黑体"/>
          <w:sz w:val="28"/>
          <w:szCs w:val="28"/>
        </w:rPr>
        <w:t>“</w:t>
      </w:r>
      <w:r>
        <w:rPr>
          <w:sz w:val="28"/>
          <w:szCs w:val="28"/>
        </w:rPr>
        <w:t>财政拨款结转和结余资金</w:t>
      </w:r>
      <w:r>
        <w:rPr>
          <w:rFonts w:cs="黑体"/>
          <w:sz w:val="28"/>
          <w:szCs w:val="28"/>
        </w:rPr>
        <w:t>”</w:t>
      </w:r>
      <w:r>
        <w:rPr>
          <w:sz w:val="28"/>
          <w:szCs w:val="28"/>
        </w:rPr>
        <w:t>、</w:t>
      </w:r>
      <w:r>
        <w:rPr>
          <w:rFonts w:cs="黑体"/>
          <w:sz w:val="28"/>
          <w:szCs w:val="28"/>
        </w:rPr>
        <w:t>“</w:t>
      </w:r>
      <w:r>
        <w:rPr>
          <w:sz w:val="28"/>
          <w:szCs w:val="28"/>
        </w:rPr>
        <w:t>上级补助收入</w:t>
      </w:r>
      <w:r>
        <w:rPr>
          <w:rFonts w:cs="黑体"/>
          <w:sz w:val="28"/>
          <w:szCs w:val="28"/>
        </w:rPr>
        <w:t>”</w:t>
      </w:r>
      <w:r>
        <w:rPr>
          <w:sz w:val="28"/>
          <w:szCs w:val="28"/>
        </w:rPr>
        <w:t>、</w:t>
      </w:r>
      <w:r>
        <w:rPr>
          <w:rFonts w:cs="黑体"/>
          <w:sz w:val="28"/>
          <w:szCs w:val="28"/>
        </w:rPr>
        <w:t>“</w:t>
      </w:r>
      <w:r>
        <w:rPr>
          <w:sz w:val="28"/>
          <w:szCs w:val="28"/>
        </w:rPr>
        <w:t>事业收入</w:t>
      </w:r>
      <w:r>
        <w:rPr>
          <w:rFonts w:cs="黑体"/>
          <w:sz w:val="28"/>
          <w:szCs w:val="28"/>
        </w:rPr>
        <w:t>”</w:t>
      </w:r>
      <w:r>
        <w:rPr>
          <w:sz w:val="28"/>
          <w:szCs w:val="28"/>
        </w:rPr>
        <w:t>、</w:t>
      </w:r>
      <w:r>
        <w:rPr>
          <w:rFonts w:cs="黑体"/>
          <w:sz w:val="28"/>
          <w:szCs w:val="28"/>
        </w:rPr>
        <w:t>“</w:t>
      </w:r>
      <w:r>
        <w:rPr>
          <w:sz w:val="28"/>
          <w:szCs w:val="28"/>
        </w:rPr>
        <w:t>经营收入</w:t>
      </w:r>
      <w:r>
        <w:rPr>
          <w:rFonts w:cs="黑体"/>
          <w:sz w:val="28"/>
          <w:szCs w:val="28"/>
        </w:rPr>
        <w:t>”</w:t>
      </w:r>
      <w:r>
        <w:rPr>
          <w:sz w:val="28"/>
          <w:szCs w:val="28"/>
        </w:rPr>
        <w:t>、</w:t>
      </w:r>
      <w:r>
        <w:rPr>
          <w:rFonts w:cs="黑体"/>
          <w:sz w:val="28"/>
          <w:szCs w:val="28"/>
        </w:rPr>
        <w:t>“</w:t>
      </w:r>
      <w:r>
        <w:rPr>
          <w:sz w:val="28"/>
          <w:szCs w:val="28"/>
        </w:rPr>
        <w:t>附属单位上缴收入</w:t>
      </w:r>
      <w:r>
        <w:rPr>
          <w:rFonts w:cs="黑体"/>
          <w:sz w:val="28"/>
          <w:szCs w:val="28"/>
        </w:rPr>
        <w:t>”</w:t>
      </w:r>
      <w:r>
        <w:rPr>
          <w:sz w:val="28"/>
          <w:szCs w:val="28"/>
        </w:rPr>
        <w:t>、</w:t>
      </w:r>
      <w:r>
        <w:rPr>
          <w:rFonts w:cs="黑体"/>
          <w:sz w:val="28"/>
          <w:szCs w:val="28"/>
        </w:rPr>
        <w:t>“</w:t>
      </w:r>
      <w:r>
        <w:rPr>
          <w:sz w:val="28"/>
          <w:szCs w:val="28"/>
        </w:rPr>
        <w:t>其他收入</w:t>
      </w:r>
      <w:r>
        <w:rPr>
          <w:rFonts w:cs="黑体"/>
          <w:sz w:val="28"/>
          <w:szCs w:val="28"/>
        </w:rPr>
        <w:t>”</w:t>
      </w:r>
      <w:r>
        <w:rPr>
          <w:sz w:val="28"/>
          <w:szCs w:val="28"/>
        </w:rPr>
        <w:t>不足以安排当年支出情况下，使用以前年度积累的使用非财政拨款结余弥补收支差额的资金（事业单位当年收支相抵后按国家规定提取、用于弥补以后年度收支差额的非财政拨款结余）。</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上年结转和结余：指以前年度尚未完成、结转到本年按有关规定继续使用的资金。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年末结转和结余资金：指本年度或以前年度预算安排、因客观条件发生变化无法按原计划实施，需要延迟到以后年度按有关规定继续使用的资金。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教育支出（类）：是指用于政府教育事务支出，包括保障机构正常运转、完成日常和特定的工作任务或事业发展目标的支出。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科学技术支出（类）：是指用于科学技术方面的支出，包括保障机构正常运转、完成日常和特定的工作任务或事业发展目标的支出。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文化体育与传媒支出（类）：是指用于文化、文物、体育、新闻出版广播影视等方面的支出，包括保障机构正常运转、完成日常和特定的工作任务或事业发展目标的支出。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卫生健康支出（类）：是指用于医疗卫生与计划生育方面的支出，包括保障机构正常运转、完成日常和特定的工作任务或事业发展目标的支出。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住房保障支出（类）：是指用于住房方面的支出，包括保障机构正常运转、完成日常和特定的工作任务或事业发展目标的支出。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基本支出：</w:t>
      </w:r>
      <w:proofErr w:type="gramStart"/>
      <w:r>
        <w:rPr>
          <w:sz w:val="28"/>
          <w:szCs w:val="28"/>
        </w:rPr>
        <w:t>指保障</w:t>
      </w:r>
      <w:proofErr w:type="gramEnd"/>
      <w:r>
        <w:rPr>
          <w:sz w:val="28"/>
          <w:szCs w:val="28"/>
        </w:rPr>
        <w:t>机构正常运转、完成支日常工作任务而发生的人员支出和公用支出。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项目支出：指在基本支出之外为完成特定行政任务和事业发展目标所发生的支出。</w:t>
      </w:r>
    </w:p>
    <w:p w:rsidR="00B87C8A" w:rsidRDefault="002D1C8A" w:rsidP="002644E6">
      <w:pPr>
        <w:autoSpaceDE w:val="0"/>
        <w:autoSpaceDN w:val="0"/>
        <w:adjustRightInd w:val="0"/>
        <w:spacing w:line="360" w:lineRule="auto"/>
        <w:ind w:firstLineChars="200" w:firstLine="560"/>
        <w:rPr>
          <w:rFonts w:cs="黑体"/>
          <w:sz w:val="28"/>
          <w:szCs w:val="28"/>
        </w:rPr>
      </w:pPr>
      <w:r>
        <w:rPr>
          <w:rFonts w:cs="黑体"/>
          <w:sz w:val="28"/>
          <w:szCs w:val="28"/>
        </w:rPr>
        <w:t>“</w:t>
      </w:r>
      <w:r>
        <w:rPr>
          <w:sz w:val="28"/>
          <w:szCs w:val="28"/>
        </w:rPr>
        <w:t>三公</w:t>
      </w:r>
      <w:r>
        <w:rPr>
          <w:rFonts w:cs="黑体"/>
          <w:sz w:val="28"/>
          <w:szCs w:val="28"/>
        </w:rPr>
        <w:t>”</w:t>
      </w:r>
      <w:r>
        <w:rPr>
          <w:sz w:val="28"/>
          <w:szCs w:val="28"/>
        </w:rPr>
        <w:t>经费：指用财政拨款安排的因公出国（境）费、公务用车购置及运行费和公务接待费。其中，因公出国（境）</w:t>
      </w:r>
      <w:proofErr w:type="gramStart"/>
      <w:r>
        <w:rPr>
          <w:sz w:val="28"/>
          <w:szCs w:val="28"/>
        </w:rPr>
        <w:t>费反映</w:t>
      </w:r>
      <w:proofErr w:type="gramEnd"/>
      <w:r>
        <w:rPr>
          <w:sz w:val="28"/>
          <w:szCs w:val="28"/>
        </w:rPr>
        <w:t>出国（境）的住宿费、旅费、伙食补助费、杂费、培训费等支出；公务用车购置及运行</w:t>
      </w:r>
      <w:proofErr w:type="gramStart"/>
      <w:r>
        <w:rPr>
          <w:sz w:val="28"/>
          <w:szCs w:val="28"/>
        </w:rPr>
        <w:t>费反映</w:t>
      </w:r>
      <w:proofErr w:type="gramEnd"/>
      <w:r>
        <w:rPr>
          <w:sz w:val="28"/>
          <w:szCs w:val="28"/>
        </w:rPr>
        <w:t>单位公务用车购置费及租用费、燃料费、维修费、过路过桥</w:t>
      </w:r>
      <w:r>
        <w:rPr>
          <w:sz w:val="28"/>
          <w:szCs w:val="28"/>
        </w:rPr>
        <w:lastRenderedPageBreak/>
        <w:t>费、保险费、安全奖励费用等支出；公务接待</w:t>
      </w:r>
      <w:proofErr w:type="gramStart"/>
      <w:r>
        <w:rPr>
          <w:sz w:val="28"/>
          <w:szCs w:val="28"/>
        </w:rPr>
        <w:t>费反映</w:t>
      </w:r>
      <w:proofErr w:type="gramEnd"/>
      <w:r>
        <w:rPr>
          <w:sz w:val="28"/>
          <w:szCs w:val="28"/>
        </w:rPr>
        <w:t>单位按规定开支的各类公务接待（含外宾接待）支出。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工资福利支出：反映单位开支的在职职工和编制</w:t>
      </w:r>
      <w:proofErr w:type="gramStart"/>
      <w:r>
        <w:rPr>
          <w:sz w:val="28"/>
          <w:szCs w:val="28"/>
        </w:rPr>
        <w:t>外长期</w:t>
      </w:r>
      <w:proofErr w:type="gramEnd"/>
      <w:r>
        <w:rPr>
          <w:sz w:val="28"/>
          <w:szCs w:val="28"/>
        </w:rPr>
        <w:t>聘用人员的各类劳动报酬，以及为上述人员缴纳的各项社会保险费等。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津贴补贴：反映经国家批准建立的机关事业单位艰苦边远地区津贴、机关工作人员地区附加津贴、机关工作人员岗位津贴、事业单位工作人员特殊岗位津贴补贴等。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绩效工资：反映事业单位工作人员的绩效工资。</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机关事业单位基本养老保险缴费：反映机关事业单位缴纳的基本养老保险费。由单位代扣的工作人员基本养老保险缴费，不在此科目反映。</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职工基本医疗保险缴费：反映单位为职工缴纳的基本医疗保险费。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其他社会保障缴费：反映单位为职工缴纳的基本医疗、失业、工伤、生育等社会保险费，残疾人就业保障金，军队（含武警）为军人缴纳的伤亡、退役医疗等社会保险费。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住房公积金：反映行政事业单位按人力资源和社会保障部、财政部规定的基本工资和津贴补贴以及规定比例为职工缴纳的住房公积金。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其他工资福利支出：反映上述项目未包括的人员支出，如各种加班工资、病假两个月以上期间的人员工资、编制</w:t>
      </w:r>
      <w:proofErr w:type="gramStart"/>
      <w:r>
        <w:rPr>
          <w:sz w:val="28"/>
          <w:szCs w:val="28"/>
        </w:rPr>
        <w:t>外长期</w:t>
      </w:r>
      <w:proofErr w:type="gramEnd"/>
      <w:r>
        <w:rPr>
          <w:sz w:val="28"/>
          <w:szCs w:val="28"/>
        </w:rPr>
        <w:t>聘用人员，公务员及参照和依照公务员制度管理的单位工作人员转入企业工作并按规定参加企业职工基本养老保险后给予的一次性补贴等。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商品和服务支出：反映单位购买商品和服务的支出（不包括用于购置固定资产的支出、战略性和应急储备支出）。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办公费：反映单位购买按财务会计制度规定不符合固定资产确认标准的日常办公用品、书报杂志等支出。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印刷费：反映单位的印刷费支出。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邮电费：反映单位开支的信函、包裹、货物等物品的邮寄费及电话费、电报费、传真费、网络通讯费等。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物业管理费：反映单位开支的办公用房以及未实行职工住宅物业服务改革的在职职工和离退休人员宿舍等的物业管理费，包括综合治理、绿化、卫生等方面的支出。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差旅费：反映单位工作人员出差发生的城市间交通费、住宿费、伙食补贴费和市内交通费。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公务接待费：反映单位按规定开支的各类公务接待（含外宾接待）费用。</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劳务费：反映支付给单位和个人的劳务费用，如临时聘用人员、钟点工工资，稿费、翻译费，评审费等。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委托业务费：反映因委托外单位办理业务而支付的委托业务费。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其他交通费用：反映单位除公务用车运行维护费以外的其他交通费用。如公务交通补贴，租车费用、出租车费用，飞机、船舶等的燃料费、维修费、保险费等。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其他商品和服务支出：反映上述科目未包括的日常公用支出。如行政赔偿费和诉讼费、国内组织的会员费、来访费、广告宣传、其他劳务费及离休人员特需费、公用经费等。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对个人和家庭的补助：反映政府用于对个人和家庭的补助支出。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离休费：反映行政事业单位和军队移交政府安置的离休人员的离休费、护理费和其他补贴。</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抚恤金：反映按规定开支的烈士遗属、牺牲病故人员遗属的一次性和定期抚恤金，伤残人员的抚恤金，离退休人员等其他人员的各项抚恤金。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w:t>
      </w:r>
      <w:proofErr w:type="gramStart"/>
      <w:r>
        <w:rPr>
          <w:sz w:val="28"/>
          <w:szCs w:val="28"/>
        </w:rPr>
        <w:t>饲政策</w:t>
      </w:r>
      <w:proofErr w:type="gramEnd"/>
      <w:r>
        <w:rPr>
          <w:sz w:val="28"/>
          <w:szCs w:val="28"/>
        </w:rPr>
        <w:t>补偿给农牧民的现金、粮食支出，对农村党员、复员军人以及村干部的补助支出，看守人员和犯人的伙食费、药费等。</w:t>
      </w:r>
    </w:p>
    <w:p w:rsidR="00B87C8A" w:rsidRPr="007F7A26" w:rsidRDefault="002D1C8A" w:rsidP="002644E6">
      <w:pPr>
        <w:autoSpaceDE w:val="0"/>
        <w:autoSpaceDN w:val="0"/>
        <w:adjustRightInd w:val="0"/>
        <w:spacing w:line="360" w:lineRule="auto"/>
        <w:ind w:firstLineChars="200" w:firstLine="560"/>
        <w:rPr>
          <w:rFonts w:cs="黑体"/>
          <w:sz w:val="28"/>
          <w:szCs w:val="28"/>
        </w:rPr>
      </w:pPr>
      <w:r>
        <w:rPr>
          <w:sz w:val="28"/>
          <w:szCs w:val="28"/>
        </w:rPr>
        <w:t>机关运行经费：指为保障行政单位（包括参照公务员法管理的事业单位）运行用于购买货物和服务的各项资金，包括办公及印刷费、邮电费、差旅费、会议费、福利费、日常维修费、专用材料及一般设备购置</w:t>
      </w:r>
      <w:r>
        <w:rPr>
          <w:sz w:val="28"/>
          <w:szCs w:val="28"/>
        </w:rPr>
        <w:lastRenderedPageBreak/>
        <w:t>费、办公用房水电费、办公用房取暖费、 办公用房物业管理费、 公务用车运行维护费以及其他费用。</w:t>
      </w:r>
    </w:p>
    <w:p w:rsidR="00B87C8A" w:rsidRDefault="00B87C8A" w:rsidP="002644E6">
      <w:pPr>
        <w:autoSpaceDE w:val="0"/>
        <w:autoSpaceDN w:val="0"/>
        <w:adjustRightInd w:val="0"/>
        <w:spacing w:line="360" w:lineRule="auto"/>
        <w:ind w:firstLineChars="200" w:firstLine="640"/>
        <w:rPr>
          <w:rFonts w:ascii="黑体" w:eastAsia="黑体" w:hAnsi="Times New Roman" w:cs="黑体"/>
          <w:sz w:val="32"/>
          <w:szCs w:val="32"/>
        </w:rPr>
        <w:sectPr w:rsidR="00B87C8A">
          <w:pgSz w:w="12240" w:h="15840"/>
          <w:pgMar w:top="1440" w:right="1800" w:bottom="1440" w:left="1800" w:header="720" w:footer="720" w:gutter="0"/>
          <w:cols w:space="720"/>
        </w:sectPr>
      </w:pPr>
    </w:p>
    <w:p w:rsidR="00B87C8A" w:rsidRDefault="00B87C8A" w:rsidP="002644E6">
      <w:pPr>
        <w:autoSpaceDE w:val="0"/>
        <w:autoSpaceDN w:val="0"/>
        <w:adjustRightInd w:val="0"/>
        <w:spacing w:line="360" w:lineRule="auto"/>
        <w:rPr>
          <w:rFonts w:ascii="黑体" w:eastAsia="黑体" w:hAnsi="Times New Roman" w:cs="黑体"/>
          <w:sz w:val="84"/>
          <w:szCs w:val="84"/>
        </w:rPr>
      </w:pPr>
    </w:p>
    <w:p w:rsidR="00B87C8A" w:rsidRDefault="00B87C8A" w:rsidP="002644E6">
      <w:pPr>
        <w:autoSpaceDE w:val="0"/>
        <w:autoSpaceDN w:val="0"/>
        <w:adjustRightInd w:val="0"/>
        <w:spacing w:line="360" w:lineRule="auto"/>
        <w:rPr>
          <w:rFonts w:ascii="黑体" w:eastAsia="黑体" w:hAnsi="Times New Roman" w:cs="黑体"/>
          <w:sz w:val="84"/>
          <w:szCs w:val="84"/>
        </w:rPr>
      </w:pPr>
    </w:p>
    <w:p w:rsidR="00B87C8A" w:rsidRDefault="002D1C8A" w:rsidP="002644E6">
      <w:pPr>
        <w:autoSpaceDE w:val="0"/>
        <w:autoSpaceDN w:val="0"/>
        <w:adjustRightInd w:val="0"/>
        <w:spacing w:line="360" w:lineRule="auto"/>
        <w:jc w:val="center"/>
        <w:rPr>
          <w:rFonts w:ascii="黑体" w:eastAsia="黑体" w:hAnsi="Times New Roman" w:cs="黑体"/>
          <w:sz w:val="84"/>
          <w:szCs w:val="84"/>
        </w:rPr>
      </w:pPr>
      <w:r>
        <w:rPr>
          <w:rFonts w:ascii="黑体" w:eastAsia="黑体" w:hAnsi="Times New Roman" w:cs="黑体"/>
          <w:sz w:val="84"/>
          <w:szCs w:val="84"/>
        </w:rPr>
        <w:t>第五部分</w:t>
      </w:r>
    </w:p>
    <w:p w:rsidR="00B87C8A" w:rsidRDefault="002D1C8A" w:rsidP="002644E6">
      <w:pPr>
        <w:autoSpaceDE w:val="0"/>
        <w:autoSpaceDN w:val="0"/>
        <w:adjustRightInd w:val="0"/>
        <w:spacing w:line="360" w:lineRule="auto"/>
        <w:jc w:val="center"/>
        <w:rPr>
          <w:rFonts w:hAnsi="Times New Roman"/>
          <w:sz w:val="84"/>
          <w:szCs w:val="84"/>
        </w:rPr>
      </w:pPr>
      <w:r>
        <w:rPr>
          <w:rFonts w:ascii="黑体" w:eastAsia="黑体" w:hAnsi="Times New Roman" w:cs="黑体"/>
          <w:sz w:val="84"/>
          <w:szCs w:val="84"/>
        </w:rPr>
        <w:t>附  件</w:t>
      </w:r>
    </w:p>
    <w:p w:rsidR="00B87C8A" w:rsidRDefault="00B87C8A">
      <w:pPr>
        <w:spacing w:line="360" w:lineRule="auto"/>
        <w:ind w:firstLineChars="200" w:firstLine="640"/>
        <w:rPr>
          <w:rFonts w:hAnsi="Times New Roman"/>
          <w:sz w:val="32"/>
          <w:szCs w:val="32"/>
        </w:rPr>
        <w:sectPr w:rsidR="00B87C8A">
          <w:pgSz w:w="12240" w:h="15840"/>
          <w:pgMar w:top="1440" w:right="1800" w:bottom="1440" w:left="1800" w:header="720" w:footer="720" w:gutter="0"/>
          <w:cols w:space="720"/>
        </w:sectPr>
      </w:pPr>
    </w:p>
    <w:p w:rsidR="006417C5" w:rsidRPr="0088429C" w:rsidRDefault="006417C5" w:rsidP="006417C5">
      <w:pPr>
        <w:spacing w:line="580" w:lineRule="exact"/>
        <w:jc w:val="center"/>
        <w:rPr>
          <w:rFonts w:ascii="黑体" w:eastAsia="黑体" w:hAnsi="黑体"/>
          <w:b/>
          <w:bCs/>
          <w:sz w:val="36"/>
          <w:szCs w:val="36"/>
        </w:rPr>
      </w:pPr>
      <w:r w:rsidRPr="0088429C">
        <w:rPr>
          <w:rFonts w:ascii="黑体" w:eastAsia="黑体" w:hAnsi="黑体" w:hint="eastAsia"/>
          <w:b/>
          <w:bCs/>
          <w:sz w:val="36"/>
          <w:szCs w:val="36"/>
        </w:rPr>
        <w:lastRenderedPageBreak/>
        <w:t>202</w:t>
      </w:r>
      <w:r w:rsidR="009A48B7">
        <w:rPr>
          <w:rFonts w:ascii="黑体" w:eastAsia="黑体" w:hAnsi="黑体" w:hint="eastAsia"/>
          <w:b/>
          <w:bCs/>
          <w:sz w:val="36"/>
          <w:szCs w:val="36"/>
        </w:rPr>
        <w:t>3</w:t>
      </w:r>
      <w:r w:rsidRPr="0088429C">
        <w:rPr>
          <w:rFonts w:ascii="黑体" w:eastAsia="黑体" w:hAnsi="黑体" w:hint="eastAsia"/>
          <w:b/>
          <w:bCs/>
          <w:sz w:val="36"/>
          <w:szCs w:val="36"/>
        </w:rPr>
        <w:t>年度吉首大学整体支出</w:t>
      </w:r>
    </w:p>
    <w:p w:rsidR="006417C5" w:rsidRDefault="006417C5" w:rsidP="006417C5">
      <w:pPr>
        <w:spacing w:line="580" w:lineRule="exact"/>
        <w:jc w:val="center"/>
        <w:rPr>
          <w:rFonts w:ascii="黑体" w:eastAsia="黑体" w:hAnsi="黑体"/>
          <w:b/>
          <w:bCs/>
          <w:sz w:val="36"/>
          <w:szCs w:val="36"/>
        </w:rPr>
      </w:pPr>
      <w:r w:rsidRPr="0088429C">
        <w:rPr>
          <w:rFonts w:ascii="黑体" w:eastAsia="黑体" w:hAnsi="黑体" w:hint="eastAsia"/>
          <w:b/>
          <w:bCs/>
          <w:sz w:val="36"/>
          <w:szCs w:val="36"/>
        </w:rPr>
        <w:t>绩效自评报告</w:t>
      </w:r>
    </w:p>
    <w:p w:rsidR="00C4178C" w:rsidRPr="00C4178C" w:rsidRDefault="00C4178C" w:rsidP="00C4178C">
      <w:pPr>
        <w:spacing w:line="540" w:lineRule="exact"/>
        <w:rPr>
          <w:sz w:val="28"/>
          <w:szCs w:val="28"/>
        </w:rPr>
      </w:pPr>
    </w:p>
    <w:p w:rsidR="00C4178C" w:rsidRPr="00C4178C" w:rsidRDefault="00C4178C" w:rsidP="00C4178C">
      <w:pPr>
        <w:spacing w:line="540" w:lineRule="exact"/>
        <w:ind w:firstLineChars="200" w:firstLine="584"/>
        <w:contextualSpacing/>
        <w:rPr>
          <w:spacing w:val="6"/>
          <w:sz w:val="28"/>
          <w:szCs w:val="28"/>
        </w:rPr>
      </w:pPr>
      <w:r w:rsidRPr="00C4178C">
        <w:rPr>
          <w:rFonts w:hint="eastAsia"/>
          <w:spacing w:val="6"/>
          <w:sz w:val="28"/>
          <w:szCs w:val="28"/>
        </w:rPr>
        <w:t>根据《湖南省财政厅关于开展2023年度省级预算部门绩效自评和部门评价的通知》（</w:t>
      </w:r>
      <w:proofErr w:type="gramStart"/>
      <w:r w:rsidRPr="00C4178C">
        <w:rPr>
          <w:rFonts w:hint="eastAsia"/>
          <w:spacing w:val="6"/>
          <w:sz w:val="28"/>
          <w:szCs w:val="28"/>
        </w:rPr>
        <w:t>湘财绩〔2024〕</w:t>
      </w:r>
      <w:proofErr w:type="gramEnd"/>
      <w:r w:rsidRPr="00C4178C">
        <w:rPr>
          <w:rFonts w:hint="eastAsia"/>
          <w:spacing w:val="6"/>
          <w:sz w:val="28"/>
          <w:szCs w:val="28"/>
        </w:rPr>
        <w:t>1号）和湖南省教育厅《关于开展2023年度教育部门整体支出和专项资金绩效评价工作的通知》的文件精神，我校对部门整体支出进行了绩效评价，现报告如下：</w:t>
      </w:r>
    </w:p>
    <w:p w:rsidR="00C4178C" w:rsidRPr="00C4178C" w:rsidRDefault="00C4178C" w:rsidP="00C4178C">
      <w:pPr>
        <w:spacing w:line="540" w:lineRule="exact"/>
        <w:ind w:firstLineChars="200" w:firstLine="640"/>
        <w:contextualSpacing/>
        <w:rPr>
          <w:rFonts w:ascii="黑体" w:eastAsia="黑体" w:hAnsi="黑体"/>
          <w:sz w:val="32"/>
          <w:szCs w:val="32"/>
        </w:rPr>
      </w:pPr>
      <w:r w:rsidRPr="00C4178C">
        <w:rPr>
          <w:rFonts w:ascii="黑体" w:eastAsia="黑体" w:hAnsi="黑体" w:hint="eastAsia"/>
          <w:sz w:val="32"/>
          <w:szCs w:val="32"/>
        </w:rPr>
        <w:t>一、</w:t>
      </w:r>
      <w:r w:rsidRPr="00C4178C">
        <w:rPr>
          <w:rFonts w:ascii="黑体" w:eastAsia="黑体" w:hAnsi="黑体" w:hint="eastAsia"/>
          <w:sz w:val="32"/>
          <w:szCs w:val="32"/>
        </w:rPr>
        <w:tab/>
        <w:t>学校基本情况</w:t>
      </w:r>
    </w:p>
    <w:p w:rsidR="00C4178C" w:rsidRPr="00C4178C" w:rsidRDefault="00C4178C" w:rsidP="00C4178C">
      <w:pPr>
        <w:pStyle w:val="GB2312"/>
        <w:snapToGrid w:val="0"/>
        <w:spacing w:line="540" w:lineRule="exact"/>
        <w:ind w:firstLine="560"/>
        <w:outlineLvl w:val="1"/>
        <w:rPr>
          <w:rFonts w:ascii="宋体" w:eastAsia="宋体" w:hAnsi="宋体" w:cs="Times New Roman"/>
          <w:szCs w:val="28"/>
        </w:rPr>
      </w:pPr>
      <w:r w:rsidRPr="00C4178C">
        <w:rPr>
          <w:rFonts w:ascii="宋体" w:eastAsia="宋体" w:hAnsi="宋体" w:cs="Times New Roman" w:hint="eastAsia"/>
          <w:szCs w:val="28"/>
        </w:rPr>
        <w:t>吉首大学创办于1958年，在湖南省湘西土家族苗族自治州和张家界市两地办学，是湖南省属综合性大学，也是武陵山片区唯一的综合性大学。学校先后成为国家民委与湖南省政府共建高校、一本批次录取高校、博士学位授权单位、湖南省高水平建设大学、湖南省“双一流”建设高校、推荐优秀应届本科毕业生免试攻读硕士学位研究生普通高校。</w:t>
      </w:r>
    </w:p>
    <w:p w:rsidR="00C4178C" w:rsidRPr="00C4178C" w:rsidRDefault="00C4178C" w:rsidP="00C4178C">
      <w:pPr>
        <w:pStyle w:val="GB2312"/>
        <w:snapToGrid w:val="0"/>
        <w:spacing w:line="540" w:lineRule="exact"/>
        <w:ind w:firstLine="560"/>
        <w:outlineLvl w:val="1"/>
        <w:rPr>
          <w:rFonts w:ascii="宋体" w:eastAsia="宋体" w:hAnsi="宋体" w:cs="Times New Roman"/>
          <w:szCs w:val="28"/>
        </w:rPr>
      </w:pPr>
      <w:r w:rsidRPr="00C4178C">
        <w:rPr>
          <w:rFonts w:ascii="宋体" w:eastAsia="宋体" w:hAnsi="宋体" w:cs="Times New Roman" w:hint="eastAsia"/>
          <w:szCs w:val="28"/>
        </w:rPr>
        <w:t>学校学科门类齐全，现有教学学院22个，一级学科41个，本科专业73个，覆盖了12大学科门类。有省重点学科5个（其中优势特色重点学科1个）、</w:t>
      </w:r>
      <w:proofErr w:type="gramStart"/>
      <w:r w:rsidRPr="00C4178C">
        <w:rPr>
          <w:rFonts w:ascii="宋体" w:eastAsia="宋体" w:hAnsi="宋体" w:cs="Times New Roman" w:hint="eastAsia"/>
          <w:szCs w:val="28"/>
        </w:rPr>
        <w:t>省国内</w:t>
      </w:r>
      <w:proofErr w:type="gramEnd"/>
      <w:r w:rsidRPr="00C4178C">
        <w:rPr>
          <w:rFonts w:ascii="宋体" w:eastAsia="宋体" w:hAnsi="宋体" w:cs="Times New Roman" w:hint="eastAsia"/>
          <w:szCs w:val="28"/>
        </w:rPr>
        <w:t>一流建设学科1个、</w:t>
      </w:r>
      <w:proofErr w:type="gramStart"/>
      <w:r w:rsidRPr="00C4178C">
        <w:rPr>
          <w:rFonts w:ascii="宋体" w:eastAsia="宋体" w:hAnsi="宋体" w:cs="Times New Roman" w:hint="eastAsia"/>
          <w:szCs w:val="28"/>
        </w:rPr>
        <w:t>省国内</w:t>
      </w:r>
      <w:proofErr w:type="gramEnd"/>
      <w:r w:rsidRPr="00C4178C">
        <w:rPr>
          <w:rFonts w:ascii="宋体" w:eastAsia="宋体" w:hAnsi="宋体" w:cs="Times New Roman" w:hint="eastAsia"/>
          <w:szCs w:val="28"/>
        </w:rPr>
        <w:t>一流培育学科1个、国家民委重点学科2个；有博士后科研流动站2个，“博士后科研流动站协作研发中心”1个；有一级学科博士点1个，一级学科硕士点16个，专业硕士点17个；有国家级特色专业3个，国家级本科专业综合改革试点专业1个，“卓越医生教育培养计划”专业1个，“卓越农林人才教育培养计划”专业1个；有国家级一流本科专业建设点16个、省级一流本科专业建设点36个、省级一流课程48门。有国家地方联合</w:t>
      </w:r>
      <w:r w:rsidRPr="00C4178C">
        <w:rPr>
          <w:rFonts w:ascii="宋体" w:eastAsia="宋体" w:hAnsi="宋体" w:cs="Times New Roman" w:hint="eastAsia"/>
          <w:szCs w:val="28"/>
        </w:rPr>
        <w:lastRenderedPageBreak/>
        <w:t>工程实验室、国家级实验教学示范中心、国家级工程实践教育中心等教学、科研平台共30余个。</w:t>
      </w:r>
    </w:p>
    <w:p w:rsidR="00C4178C" w:rsidRPr="00C4178C" w:rsidRDefault="00C4178C" w:rsidP="00C4178C">
      <w:pPr>
        <w:pStyle w:val="GB2312"/>
        <w:snapToGrid w:val="0"/>
        <w:spacing w:line="540" w:lineRule="exact"/>
        <w:ind w:firstLine="560"/>
        <w:outlineLvl w:val="1"/>
        <w:rPr>
          <w:rFonts w:ascii="宋体" w:eastAsia="宋体" w:hAnsi="宋体" w:cs="Times New Roman"/>
          <w:szCs w:val="28"/>
        </w:rPr>
      </w:pPr>
      <w:r w:rsidRPr="00C4178C">
        <w:rPr>
          <w:rFonts w:ascii="宋体" w:eastAsia="宋体" w:hAnsi="宋体" w:cs="Times New Roman" w:hint="eastAsia"/>
          <w:szCs w:val="28"/>
        </w:rPr>
        <w:t>学校在职教职员工近1500人，专任教师1100余人，其中高级职称700余人，博士生导师、硕士生导师共560余人。有“国务院政府特殊津贴”专家14人，“新世纪百干万人才工程”国家级人选1人，教育部“新世纪优秀人才支持计划”6人，文化名家暨“四个一批”人才工程1人、国家民委民族问题研究优秀中青年专家1人、湖南省“121人才工程”人选、享受“湖南省政府特殊津贴”专家、湖湘青年英才、湖南省芙蓉学者、湖湘高层次人才聚集工程人选、湖南省跨世纪学术带头人、湖南省“芙蓉教学名师”、湖南省优秀中青年专家等共51人；有国家级教学团队2个，省级优秀教学团队3个，省级科技创新团队4个。有全国先进教育工作者1人，五一劳动奖章2人，全国优秀教师9人，全国师德先进个人1人，全国模范教师1人，徐特立教育奖获得者1人；曾宪梓教育基金奖获得者5人；宝钢教育基金奖获得者2人。</w:t>
      </w:r>
    </w:p>
    <w:p w:rsidR="00C4178C" w:rsidRPr="00C4178C" w:rsidRDefault="00C4178C" w:rsidP="00C4178C">
      <w:pPr>
        <w:pStyle w:val="GB2312"/>
        <w:snapToGrid w:val="0"/>
        <w:spacing w:line="540" w:lineRule="exact"/>
        <w:ind w:firstLine="560"/>
        <w:outlineLvl w:val="1"/>
        <w:rPr>
          <w:rFonts w:ascii="宋体" w:eastAsia="宋体" w:hAnsi="宋体" w:cs="Times New Roman"/>
          <w:szCs w:val="28"/>
        </w:rPr>
      </w:pPr>
      <w:r w:rsidRPr="00C4178C">
        <w:rPr>
          <w:rFonts w:ascii="宋体" w:eastAsia="宋体" w:hAnsi="宋体" w:cs="Times New Roman" w:hint="eastAsia"/>
          <w:szCs w:val="28"/>
        </w:rPr>
        <w:t>学校现有各类在籍学生近3万人，其中在校本科生、硕士生、博士生、留学生共2.5万余人。学校构建了“课程主导、环境熏陶、实践</w:t>
      </w:r>
      <w:proofErr w:type="gramStart"/>
      <w:r w:rsidRPr="00C4178C">
        <w:rPr>
          <w:rFonts w:ascii="宋体" w:eastAsia="宋体" w:hAnsi="宋体" w:cs="Times New Roman" w:hint="eastAsia"/>
          <w:szCs w:val="28"/>
        </w:rPr>
        <w:t>砺</w:t>
      </w:r>
      <w:proofErr w:type="gramEnd"/>
      <w:r w:rsidRPr="00C4178C">
        <w:rPr>
          <w:rFonts w:ascii="宋体" w:eastAsia="宋体" w:hAnsi="宋体" w:cs="Times New Roman" w:hint="eastAsia"/>
          <w:szCs w:val="28"/>
        </w:rPr>
        <w:t>炼、自我塑造”为体系的“立人教育”体系，学生动手能力强、社会实践活动多，在中国“互联网+”大学生创新创业大赛、全国“挑战杯”大学生课外学术科技作品竞赛等各类比赛、竞赛中荣获特等奖、一等奖。大学生少数民族艺术团多次赴美国、香港等地演出，影响广泛。学校多次获全国大学生“三下乡”活动先进单位和“西部计划项目优秀高校”称号。办学60余年来，共培养“下得去、留得住、用得上、干得好”的毕业生30万余名。</w:t>
      </w:r>
    </w:p>
    <w:p w:rsidR="00C4178C" w:rsidRPr="00C4178C" w:rsidRDefault="00C4178C" w:rsidP="00C4178C">
      <w:pPr>
        <w:spacing w:line="540" w:lineRule="exact"/>
        <w:ind w:firstLine="640"/>
        <w:rPr>
          <w:rFonts w:ascii="黑体" w:eastAsia="黑体" w:hAnsi="黑体"/>
          <w:sz w:val="32"/>
          <w:szCs w:val="32"/>
        </w:rPr>
      </w:pPr>
      <w:r w:rsidRPr="00C4178C">
        <w:rPr>
          <w:rFonts w:ascii="黑体" w:eastAsia="黑体" w:hAnsi="黑体" w:hint="eastAsia"/>
          <w:sz w:val="32"/>
          <w:szCs w:val="32"/>
        </w:rPr>
        <w:t>二、一般公共预算支出情况</w:t>
      </w:r>
    </w:p>
    <w:p w:rsidR="00C4178C" w:rsidRPr="00C4178C" w:rsidRDefault="00C4178C" w:rsidP="00C4178C">
      <w:pPr>
        <w:tabs>
          <w:tab w:val="left" w:pos="0"/>
        </w:tabs>
        <w:spacing w:line="540" w:lineRule="exact"/>
        <w:ind w:right="560" w:firstLineChars="200" w:firstLine="562"/>
        <w:rPr>
          <w:rFonts w:cs="楷体"/>
          <w:b/>
          <w:bCs/>
          <w:sz w:val="28"/>
          <w:szCs w:val="28"/>
        </w:rPr>
      </w:pPr>
      <w:r w:rsidRPr="00C4178C">
        <w:rPr>
          <w:rFonts w:cs="楷体" w:hint="eastAsia"/>
          <w:b/>
          <w:bCs/>
          <w:sz w:val="28"/>
          <w:szCs w:val="28"/>
        </w:rPr>
        <w:lastRenderedPageBreak/>
        <w:t>（一）基本支出情况</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t>2023年度学校一般公共预算基本支出25609.81万元，其中工资福利支出22971.99万元，</w:t>
      </w:r>
      <w:proofErr w:type="gramStart"/>
      <w:r w:rsidRPr="00C4178C">
        <w:rPr>
          <w:rFonts w:hint="eastAsia"/>
          <w:sz w:val="28"/>
          <w:szCs w:val="28"/>
        </w:rPr>
        <w:t>占基本</w:t>
      </w:r>
      <w:proofErr w:type="gramEnd"/>
      <w:r w:rsidRPr="00C4178C">
        <w:rPr>
          <w:rFonts w:hint="eastAsia"/>
          <w:sz w:val="28"/>
          <w:szCs w:val="28"/>
        </w:rPr>
        <w:t>支出的89.70%，主要包括基本工资、津贴补贴、奖金、绩效工资、社会保障费等;商品服务支出2105.92万元，</w:t>
      </w:r>
      <w:proofErr w:type="gramStart"/>
      <w:r w:rsidRPr="00C4178C">
        <w:rPr>
          <w:rFonts w:hint="eastAsia"/>
          <w:sz w:val="28"/>
          <w:szCs w:val="28"/>
        </w:rPr>
        <w:t>占基本</w:t>
      </w:r>
      <w:proofErr w:type="gramEnd"/>
      <w:r w:rsidRPr="00C4178C">
        <w:rPr>
          <w:rFonts w:hint="eastAsia"/>
          <w:sz w:val="28"/>
          <w:szCs w:val="28"/>
        </w:rPr>
        <w:t>支出的8.22%，主要包括办公费、印刷费、邮电费、物业管理费、差旅费、专用材料费、劳务费、委托业务费等；对个人和家庭的补助支出531.90万元，</w:t>
      </w:r>
      <w:proofErr w:type="gramStart"/>
      <w:r w:rsidRPr="00C4178C">
        <w:rPr>
          <w:rFonts w:hint="eastAsia"/>
          <w:sz w:val="28"/>
          <w:szCs w:val="28"/>
        </w:rPr>
        <w:t>占基本</w:t>
      </w:r>
      <w:proofErr w:type="gramEnd"/>
      <w:r w:rsidRPr="00C4178C">
        <w:rPr>
          <w:rFonts w:hint="eastAsia"/>
          <w:sz w:val="28"/>
          <w:szCs w:val="28"/>
        </w:rPr>
        <w:t>支出的2.08%，主要包括离休费、生活补助等。</w:t>
      </w:r>
    </w:p>
    <w:p w:rsidR="00C4178C" w:rsidRPr="00C4178C" w:rsidRDefault="00C4178C" w:rsidP="00C4178C">
      <w:pPr>
        <w:tabs>
          <w:tab w:val="left" w:pos="0"/>
        </w:tabs>
        <w:spacing w:line="540" w:lineRule="exact"/>
        <w:ind w:right="560" w:firstLineChars="200" w:firstLine="562"/>
        <w:rPr>
          <w:rFonts w:cs="楷体"/>
          <w:b/>
          <w:bCs/>
          <w:sz w:val="28"/>
          <w:szCs w:val="28"/>
        </w:rPr>
      </w:pPr>
      <w:r w:rsidRPr="00C4178C">
        <w:rPr>
          <w:rFonts w:cs="楷体" w:hint="eastAsia"/>
          <w:b/>
          <w:bCs/>
          <w:sz w:val="28"/>
          <w:szCs w:val="28"/>
        </w:rPr>
        <w:t>（二）项目支出情况</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t>2023年度学校一般公共预算项目支出25434.31万元，其中商品服务支出10021.01万元；对个人和家庭的补助支出5665.49万元；资本性支出（基本建设）452.77万元，资本性支出9295.04万元。</w:t>
      </w:r>
    </w:p>
    <w:p w:rsidR="00C4178C" w:rsidRPr="00C4178C" w:rsidRDefault="00C4178C" w:rsidP="00C4178C">
      <w:pPr>
        <w:tabs>
          <w:tab w:val="left" w:pos="0"/>
        </w:tabs>
        <w:spacing w:line="540" w:lineRule="exact"/>
        <w:ind w:right="560" w:firstLineChars="200" w:firstLine="560"/>
        <w:rPr>
          <w:rFonts w:cs="仿宋_GB2312"/>
          <w:sz w:val="28"/>
          <w:szCs w:val="28"/>
        </w:rPr>
      </w:pPr>
      <w:r w:rsidRPr="00C4178C">
        <w:rPr>
          <w:rFonts w:cs="仿宋_GB2312" w:hint="eastAsia"/>
          <w:sz w:val="28"/>
          <w:szCs w:val="28"/>
        </w:rPr>
        <w:t>1.2023年度省级专项资金情况</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t>2023年本单位省级专项资金支出包括教育综合发展专项、高校“双一流”建设专项。</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t>（1）教育综合发展专项，年度财政拨款99.8万元，全年执行数74.07万元，预算执行率74.22%，经费</w:t>
      </w:r>
      <w:proofErr w:type="gramStart"/>
      <w:r w:rsidRPr="00C4178C">
        <w:rPr>
          <w:rFonts w:hint="eastAsia"/>
          <w:sz w:val="28"/>
          <w:szCs w:val="28"/>
        </w:rPr>
        <w:t>主要用铸牢</w:t>
      </w:r>
      <w:proofErr w:type="gramEnd"/>
      <w:r w:rsidRPr="00C4178C">
        <w:rPr>
          <w:rFonts w:hint="eastAsia"/>
          <w:sz w:val="28"/>
          <w:szCs w:val="28"/>
        </w:rPr>
        <w:t>中华民族共同体意识教育示范校、</w:t>
      </w:r>
      <w:proofErr w:type="gramStart"/>
      <w:r w:rsidRPr="00C4178C">
        <w:rPr>
          <w:rFonts w:hint="eastAsia"/>
          <w:sz w:val="28"/>
          <w:szCs w:val="28"/>
        </w:rPr>
        <w:t>特</w:t>
      </w:r>
      <w:proofErr w:type="gramEnd"/>
      <w:r w:rsidRPr="00C4178C">
        <w:rPr>
          <w:rFonts w:hint="eastAsia"/>
          <w:sz w:val="28"/>
          <w:szCs w:val="28"/>
        </w:rPr>
        <w:t>岗教师岗前培训；教育规划课题、第五届教育科学研究优秀成果奖、省级精品课程、西藏内地班。</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t>（2）高校“双一流”建设专项，年度财政拨款3154.31万元。为切实有效推进“双一流”建设，学校自筹资金2957万元，投入总计6111.31万元用于“双一流”项目建设，在制度建设、“双一流”学科（专业群）建设、人才队伍建设、创新人才培养、科学研究和学术合作交流等六大方面取得发展和突破。</w:t>
      </w:r>
    </w:p>
    <w:p w:rsidR="00C4178C" w:rsidRPr="00C4178C" w:rsidRDefault="00C4178C" w:rsidP="00C4178C">
      <w:pPr>
        <w:tabs>
          <w:tab w:val="left" w:pos="0"/>
        </w:tabs>
        <w:spacing w:line="540" w:lineRule="exact"/>
        <w:ind w:right="560" w:firstLineChars="200" w:firstLine="560"/>
        <w:rPr>
          <w:rFonts w:cs="仿宋_GB2312"/>
          <w:sz w:val="28"/>
          <w:szCs w:val="28"/>
        </w:rPr>
      </w:pPr>
      <w:r w:rsidRPr="00C4178C">
        <w:rPr>
          <w:rFonts w:cs="仿宋_GB2312" w:hint="eastAsia"/>
          <w:sz w:val="28"/>
          <w:szCs w:val="28"/>
        </w:rPr>
        <w:t>2.其他项目支出情况</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lastRenderedPageBreak/>
        <w:t>其他项目支出按照“规范管理、专款专用、注重绩效”的原则，严格遵守各专项资金使用管理办法及相关财政规章制度有关规定，严格执行省财政厅批复的项目及预算，确保了资金使用效率及效果。</w:t>
      </w:r>
    </w:p>
    <w:p w:rsidR="00C4178C" w:rsidRPr="00C4178C" w:rsidRDefault="00C4178C" w:rsidP="00C4178C">
      <w:pPr>
        <w:tabs>
          <w:tab w:val="left" w:pos="0"/>
        </w:tabs>
        <w:spacing w:line="540" w:lineRule="exact"/>
        <w:ind w:right="25" w:firstLine="640"/>
        <w:rPr>
          <w:sz w:val="28"/>
          <w:szCs w:val="28"/>
        </w:rPr>
      </w:pPr>
      <w:r w:rsidRPr="00C4178C">
        <w:rPr>
          <w:rFonts w:hint="eastAsia"/>
          <w:sz w:val="28"/>
          <w:szCs w:val="28"/>
        </w:rPr>
        <w:t>（1）其他事业类发展资金</w:t>
      </w:r>
    </w:p>
    <w:p w:rsidR="00C4178C" w:rsidRPr="00C4178C" w:rsidRDefault="00C4178C" w:rsidP="00C4178C">
      <w:pPr>
        <w:tabs>
          <w:tab w:val="left" w:pos="0"/>
        </w:tabs>
        <w:spacing w:line="540" w:lineRule="exact"/>
        <w:ind w:right="25" w:firstLineChars="200" w:firstLine="560"/>
        <w:rPr>
          <w:sz w:val="28"/>
          <w:szCs w:val="28"/>
        </w:rPr>
      </w:pPr>
      <w:r w:rsidRPr="00C4178C">
        <w:rPr>
          <w:rFonts w:hint="eastAsia"/>
          <w:sz w:val="28"/>
          <w:szCs w:val="28"/>
        </w:rPr>
        <w:t>2023年本单位其他事业类发展资金支出22258.85万元，主要用于学校人才引进与培养、教学教改、行政后勤和基础设施能力建设等专项，人才培养质量不断提高，教学教改成绩硕果累累，办学基础条件显著改善，社会影响</w:t>
      </w:r>
      <w:proofErr w:type="gramStart"/>
      <w:r w:rsidRPr="00C4178C">
        <w:rPr>
          <w:rFonts w:hint="eastAsia"/>
          <w:sz w:val="28"/>
          <w:szCs w:val="28"/>
        </w:rPr>
        <w:t>力显著</w:t>
      </w:r>
      <w:proofErr w:type="gramEnd"/>
      <w:r w:rsidRPr="00C4178C">
        <w:rPr>
          <w:rFonts w:hint="eastAsia"/>
          <w:sz w:val="28"/>
          <w:szCs w:val="28"/>
        </w:rPr>
        <w:t>扩大。</w:t>
      </w:r>
    </w:p>
    <w:p w:rsidR="00C4178C" w:rsidRPr="00373973" w:rsidRDefault="00C4178C" w:rsidP="00C4178C">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三、政府性基金预算支出情况部门整体支出绩效情况</w:t>
      </w:r>
    </w:p>
    <w:p w:rsidR="00C4178C" w:rsidRPr="00373973" w:rsidRDefault="00C4178C" w:rsidP="00C4178C">
      <w:pPr>
        <w:pStyle w:val="GB2312"/>
        <w:snapToGrid w:val="0"/>
        <w:spacing w:line="540" w:lineRule="exact"/>
        <w:ind w:firstLine="560"/>
        <w:outlineLvl w:val="1"/>
        <w:rPr>
          <w:rFonts w:ascii="宋体" w:eastAsia="宋体" w:hAnsi="宋体" w:cs="Times New Roman"/>
          <w:szCs w:val="28"/>
        </w:rPr>
      </w:pPr>
      <w:r w:rsidRPr="00373973">
        <w:rPr>
          <w:rFonts w:ascii="宋体" w:eastAsia="宋体" w:hAnsi="宋体" w:cs="Times New Roman" w:hint="eastAsia"/>
          <w:szCs w:val="28"/>
        </w:rPr>
        <w:t>无。</w:t>
      </w:r>
    </w:p>
    <w:p w:rsidR="00C4178C" w:rsidRPr="00373973" w:rsidRDefault="00C4178C" w:rsidP="00C4178C">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四、国有资本经营预算支出情况</w:t>
      </w:r>
    </w:p>
    <w:p w:rsidR="00C4178C" w:rsidRPr="00373973" w:rsidRDefault="00C4178C" w:rsidP="00C4178C">
      <w:pPr>
        <w:pStyle w:val="GB2312"/>
        <w:snapToGrid w:val="0"/>
        <w:spacing w:line="540" w:lineRule="exact"/>
        <w:ind w:firstLine="560"/>
        <w:outlineLvl w:val="1"/>
        <w:rPr>
          <w:rFonts w:ascii="宋体" w:eastAsia="宋体" w:hAnsi="宋体" w:cs="Times New Roman"/>
          <w:szCs w:val="28"/>
        </w:rPr>
      </w:pPr>
      <w:r w:rsidRPr="00373973">
        <w:rPr>
          <w:rFonts w:ascii="宋体" w:eastAsia="宋体" w:hAnsi="宋体" w:cs="Times New Roman" w:hint="eastAsia"/>
          <w:szCs w:val="28"/>
        </w:rPr>
        <w:t>无。</w:t>
      </w:r>
    </w:p>
    <w:p w:rsidR="00C4178C" w:rsidRPr="00373973" w:rsidRDefault="00C4178C" w:rsidP="00C4178C">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五、社会保险基金预算支出情况</w:t>
      </w:r>
    </w:p>
    <w:p w:rsidR="00C4178C" w:rsidRPr="00373973" w:rsidRDefault="00C4178C" w:rsidP="00C4178C">
      <w:pPr>
        <w:pStyle w:val="GB2312"/>
        <w:snapToGrid w:val="0"/>
        <w:spacing w:line="540" w:lineRule="exact"/>
        <w:ind w:firstLine="560"/>
        <w:outlineLvl w:val="1"/>
        <w:rPr>
          <w:rFonts w:ascii="宋体" w:eastAsia="宋体" w:hAnsi="宋体" w:cs="Times New Roman"/>
          <w:szCs w:val="28"/>
        </w:rPr>
      </w:pPr>
      <w:r w:rsidRPr="00373973">
        <w:rPr>
          <w:rFonts w:ascii="宋体" w:eastAsia="宋体" w:hAnsi="宋体" w:cs="Times New Roman" w:hint="eastAsia"/>
          <w:szCs w:val="28"/>
        </w:rPr>
        <w:t>无。</w:t>
      </w:r>
    </w:p>
    <w:p w:rsidR="00C4178C" w:rsidRPr="00373973" w:rsidRDefault="00C4178C" w:rsidP="00C4178C">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六、部门整体支出绩效情况</w:t>
      </w:r>
    </w:p>
    <w:p w:rsidR="00C4178C" w:rsidRPr="00C4178C" w:rsidRDefault="00C4178C" w:rsidP="00C4178C">
      <w:pPr>
        <w:autoSpaceDE w:val="0"/>
        <w:autoSpaceDN w:val="0"/>
        <w:adjustRightInd w:val="0"/>
        <w:spacing w:line="540" w:lineRule="exact"/>
        <w:ind w:firstLineChars="200" w:firstLine="560"/>
        <w:rPr>
          <w:sz w:val="28"/>
          <w:szCs w:val="28"/>
        </w:rPr>
      </w:pPr>
      <w:r w:rsidRPr="00C4178C">
        <w:rPr>
          <w:rFonts w:hint="eastAsia"/>
          <w:sz w:val="28"/>
          <w:szCs w:val="28"/>
        </w:rPr>
        <w:t>2023年学校各项支出符合国家财经法规和财务管理制度及有关专项资金管理办法的规定。严格贯彻《党政机关厉行节约反对浪费条例》，“三公经费”支出只减不增，严控一般性经费支出，努力降低行政运行成本；与预算执行绩效相结合，对预算执行不好的、资金效益不高的，少安排或不予安排。按照《2023年度部门整体支出绩效自评表》评分标准，综合自评得分98分。主要工作成效如下：</w:t>
      </w:r>
    </w:p>
    <w:p w:rsidR="00C4178C" w:rsidRPr="00C4178C" w:rsidRDefault="00C4178C" w:rsidP="00C4178C">
      <w:pPr>
        <w:adjustRightInd w:val="0"/>
        <w:snapToGrid w:val="0"/>
        <w:spacing w:line="540" w:lineRule="exact"/>
        <w:ind w:firstLineChars="200" w:firstLine="560"/>
        <w:rPr>
          <w:sz w:val="28"/>
          <w:szCs w:val="28"/>
        </w:rPr>
      </w:pPr>
      <w:r w:rsidRPr="00C4178C">
        <w:rPr>
          <w:rFonts w:hint="eastAsia"/>
          <w:sz w:val="28"/>
          <w:szCs w:val="28"/>
        </w:rPr>
        <w:t>1.教学育人有新成果。新增省级课程</w:t>
      </w:r>
      <w:proofErr w:type="gramStart"/>
      <w:r w:rsidRPr="00C4178C">
        <w:rPr>
          <w:rFonts w:hint="eastAsia"/>
          <w:sz w:val="28"/>
          <w:szCs w:val="28"/>
        </w:rPr>
        <w:t>思政教学</w:t>
      </w:r>
      <w:proofErr w:type="gramEnd"/>
      <w:r w:rsidRPr="00C4178C">
        <w:rPr>
          <w:rFonts w:hint="eastAsia"/>
          <w:sz w:val="28"/>
          <w:szCs w:val="28"/>
        </w:rPr>
        <w:t>名师2名和团队2个，新增省级优秀研究生导师6人、导师团队4个。学生学科竞赛成绩喜人，获国家级、省级学科竞赛奖1244项，其中国家级特等奖、一等奖28项，</w:t>
      </w:r>
      <w:r w:rsidRPr="00C4178C">
        <w:rPr>
          <w:rFonts w:hint="eastAsia"/>
          <w:sz w:val="28"/>
          <w:szCs w:val="28"/>
        </w:rPr>
        <w:lastRenderedPageBreak/>
        <w:t>省级特等奖、一等奖170项，“挑战杯”大学生课外学术科技作品竞赛获全国、省“挑战杯”特等奖和一二三等奖18项，学校获湖南省“优胜杯”集体奖；本科生考研录取率达16.17%，比上年提高1.62个百分点。研究生学位论文质量稳步提升，获省级优秀博士、硕士学位论文15篇，被抽检的学位论文全获通过。启动同等学力硕士研究生招生，成功注册76名同等学力人员申请硕士学位。招生类型新增“乡村高中教师公费定向培养计划”。</w:t>
      </w:r>
    </w:p>
    <w:p w:rsidR="00C4178C" w:rsidRPr="00C4178C" w:rsidRDefault="00C4178C" w:rsidP="00C4178C">
      <w:pPr>
        <w:adjustRightInd w:val="0"/>
        <w:snapToGrid w:val="0"/>
        <w:spacing w:line="540" w:lineRule="exact"/>
        <w:ind w:firstLineChars="200" w:firstLine="560"/>
        <w:rPr>
          <w:sz w:val="28"/>
          <w:szCs w:val="28"/>
        </w:rPr>
      </w:pPr>
      <w:r w:rsidRPr="00C4178C">
        <w:rPr>
          <w:rFonts w:hint="eastAsia"/>
          <w:sz w:val="28"/>
          <w:szCs w:val="28"/>
        </w:rPr>
        <w:t>2.就业创业工作有新作为。立项省级大学生研究性学习和创新性实验计划项目94项，国家级大学生创新创业训练计划项目34项。获批教育部第二期供需对接就业育人项目3项。4支团队被评为全国社会实践示范团队、</w:t>
      </w:r>
      <w:proofErr w:type="gramStart"/>
      <w:r w:rsidRPr="00C4178C">
        <w:rPr>
          <w:rFonts w:hint="eastAsia"/>
          <w:sz w:val="28"/>
          <w:szCs w:val="28"/>
        </w:rPr>
        <w:t>优秀实践</w:t>
      </w:r>
      <w:proofErr w:type="gramEnd"/>
      <w:r w:rsidRPr="00C4178C">
        <w:rPr>
          <w:rFonts w:hint="eastAsia"/>
          <w:sz w:val="28"/>
          <w:szCs w:val="28"/>
        </w:rPr>
        <w:t>团队。8支团队入围“挑战杯”中国大学生创业计划</w:t>
      </w:r>
      <w:proofErr w:type="gramStart"/>
      <w:r w:rsidRPr="00C4178C">
        <w:rPr>
          <w:rFonts w:hint="eastAsia"/>
          <w:sz w:val="28"/>
          <w:szCs w:val="28"/>
        </w:rPr>
        <w:t>竞赛国</w:t>
      </w:r>
      <w:proofErr w:type="gramEnd"/>
      <w:r w:rsidRPr="00C4178C">
        <w:rPr>
          <w:rFonts w:hint="eastAsia"/>
          <w:sz w:val="28"/>
          <w:szCs w:val="28"/>
        </w:rPr>
        <w:t>赛直通车，学校成为团中央点名表扬的唯一</w:t>
      </w:r>
      <w:proofErr w:type="gramStart"/>
      <w:r w:rsidRPr="00C4178C">
        <w:rPr>
          <w:rFonts w:hint="eastAsia"/>
          <w:sz w:val="28"/>
          <w:szCs w:val="28"/>
        </w:rPr>
        <w:t>一</w:t>
      </w:r>
      <w:proofErr w:type="gramEnd"/>
      <w:r w:rsidRPr="00C4178C">
        <w:rPr>
          <w:rFonts w:hint="eastAsia"/>
          <w:sz w:val="28"/>
          <w:szCs w:val="28"/>
        </w:rPr>
        <w:t>所湖南高校。毕业生就业情况良好，初次毕业去向落实率达86.17%，协议就业率进一步提升，涌现了一批就业先进典型，其中张晓敏荣获全国高校毕业生基层就业卓越奖，并作为湖南省唯一获奖代表进京领奖，先进事迹被《人民日报》专题报道。学校获评湖南省普通高等学校就业创业工作“一把手工程”优秀单位，被遴选为湖南省普通高等学校毕业生就业区域性行业性常设市场。</w:t>
      </w:r>
    </w:p>
    <w:p w:rsidR="00C4178C" w:rsidRPr="00C4178C" w:rsidRDefault="00C4178C" w:rsidP="00C4178C">
      <w:pPr>
        <w:adjustRightInd w:val="0"/>
        <w:snapToGrid w:val="0"/>
        <w:spacing w:line="540" w:lineRule="exact"/>
        <w:ind w:firstLineChars="200" w:firstLine="560"/>
        <w:rPr>
          <w:sz w:val="28"/>
          <w:szCs w:val="28"/>
        </w:rPr>
      </w:pPr>
      <w:r w:rsidRPr="00C4178C">
        <w:rPr>
          <w:rFonts w:hint="eastAsia"/>
          <w:sz w:val="28"/>
          <w:szCs w:val="28"/>
        </w:rPr>
        <w:t>3.学科专业建设实现新突破。持续培育和提升学科建设国际影响力，化学学科、工程学学科进入ESI全球前1%，学科专业建设实现新突破。完成学校首轮15个“双一流”建设学科验收考核和第二轮“一流建设学科”遴选确认工作，正式启动第二轮一流学科建设工作。在第五轮全国学科评估中，体育学、民族学获得优异成绩，学校实现学科评估B类等级零的突破；在专业学位水平评估中体育专业获评“优秀”等级。大</w:t>
      </w:r>
      <w:r w:rsidRPr="00C4178C">
        <w:rPr>
          <w:rFonts w:hint="eastAsia"/>
          <w:sz w:val="28"/>
          <w:szCs w:val="28"/>
        </w:rPr>
        <w:lastRenderedPageBreak/>
        <w:t>力推进35个国家级、省级一流专业建设点内涵建设，汉语言文学专业、数学与应用数学专业顺利通过师范专业认证。新增哲学、酿酒工程、中药学三个本科专业。持续加强学位点建设，强力推进博士点申报工作，组织举办专题研讨会20余场，学术活动30余次。通过全省动态调整竞争性获得增列计算机科学与技术一级学科硕士点，通过全国性学位点对应调整让学校艺术硕士由原来1个点增加至音乐、舞蹈、设计3个点。体育学一级学科博士学位授权点和教育、新闻与传播等7个硕士专业学位授权点专项评估顺利完成。学校获批4门国家级一流课程，8门省级精品在线开放课程、</w:t>
      </w:r>
      <w:proofErr w:type="gramStart"/>
      <w:r w:rsidRPr="00C4178C">
        <w:rPr>
          <w:rFonts w:hint="eastAsia"/>
          <w:sz w:val="28"/>
          <w:szCs w:val="28"/>
        </w:rPr>
        <w:t>课程思政示范</w:t>
      </w:r>
      <w:proofErr w:type="gramEnd"/>
      <w:r w:rsidRPr="00C4178C">
        <w:rPr>
          <w:rFonts w:hint="eastAsia"/>
          <w:sz w:val="28"/>
          <w:szCs w:val="28"/>
        </w:rPr>
        <w:t>课程和研究生精品课程，7个湖南省研究生联合培养基地。大力建设并推动《哲学与人生》《审美与礼仪》等4门公共通识必修课全部开课，课程教学运行平稳。</w:t>
      </w:r>
    </w:p>
    <w:p w:rsidR="00C4178C" w:rsidRPr="00C4178C" w:rsidRDefault="00C4178C" w:rsidP="00C4178C">
      <w:pPr>
        <w:adjustRightInd w:val="0"/>
        <w:snapToGrid w:val="0"/>
        <w:spacing w:line="540" w:lineRule="exact"/>
        <w:ind w:firstLineChars="200" w:firstLine="560"/>
        <w:rPr>
          <w:sz w:val="28"/>
          <w:szCs w:val="28"/>
        </w:rPr>
      </w:pPr>
      <w:r w:rsidRPr="00C4178C">
        <w:rPr>
          <w:rFonts w:hint="eastAsia"/>
          <w:sz w:val="28"/>
          <w:szCs w:val="28"/>
        </w:rPr>
        <w:t>4.人才强校战略获得新进展。引进特聘专家6名，博士27名，6名教师经对口支援计划赴中山大学读博，学校博士增至510人（含在读）。新增教授10人、副教授18人，175名教师入选俊彦人才计划2.0版。4位学者入选全球前2%顶尖科学家，1位学者入选全球高被引科学家名单。12名教师新增为湖湘青年英才、湖南省杰青、省三尖人才、芙蓉教学名师、省中青年托举人才计划、省青年骨干教师计划，1人获国务院</w:t>
      </w:r>
      <w:proofErr w:type="gramStart"/>
      <w:r w:rsidRPr="00C4178C">
        <w:rPr>
          <w:rFonts w:hint="eastAsia"/>
          <w:sz w:val="28"/>
          <w:szCs w:val="28"/>
        </w:rPr>
        <w:t>殊</w:t>
      </w:r>
      <w:proofErr w:type="gramEnd"/>
      <w:r w:rsidRPr="00C4178C">
        <w:rPr>
          <w:rFonts w:hint="eastAsia"/>
          <w:sz w:val="28"/>
          <w:szCs w:val="28"/>
        </w:rPr>
        <w:t>津贴专家称号，1人获芙蓉学者特聘教授计划支持。</w:t>
      </w:r>
    </w:p>
    <w:p w:rsidR="00C4178C" w:rsidRPr="00C4178C" w:rsidRDefault="00C4178C" w:rsidP="00C4178C">
      <w:pPr>
        <w:adjustRightInd w:val="0"/>
        <w:snapToGrid w:val="0"/>
        <w:spacing w:line="540" w:lineRule="exact"/>
        <w:ind w:firstLineChars="200" w:firstLine="560"/>
        <w:rPr>
          <w:sz w:val="28"/>
          <w:szCs w:val="28"/>
        </w:rPr>
      </w:pPr>
      <w:r w:rsidRPr="00C4178C">
        <w:rPr>
          <w:rFonts w:hint="eastAsia"/>
          <w:sz w:val="28"/>
          <w:szCs w:val="28"/>
        </w:rPr>
        <w:t>5.科技服务地方取得新成效。新增省部级科研平台4个，建成湖南省首个铸牢中华民族共同体意识研究中心，成立湖南省当代马克思主义研究中心吉首大学基地，与省人大共建民族地区地方立法研究基地。全年获国家自</w:t>
      </w:r>
      <w:proofErr w:type="gramStart"/>
      <w:r w:rsidRPr="00C4178C">
        <w:rPr>
          <w:rFonts w:hint="eastAsia"/>
          <w:sz w:val="28"/>
          <w:szCs w:val="28"/>
        </w:rPr>
        <w:t>科基金</w:t>
      </w:r>
      <w:proofErr w:type="gramEnd"/>
      <w:r w:rsidRPr="00C4178C">
        <w:rPr>
          <w:rFonts w:hint="eastAsia"/>
          <w:sz w:val="28"/>
          <w:szCs w:val="28"/>
        </w:rPr>
        <w:t>项目19项、社科基金项目16项，领先省内同类高校。获湖南省高校科技创新团队2个。面向社会开放许可专利29件，完成技术合同登记94件，登记金额逾1800万元。深化校地科技合作，与湘</w:t>
      </w:r>
      <w:r w:rsidRPr="00C4178C">
        <w:rPr>
          <w:rFonts w:hint="eastAsia"/>
          <w:sz w:val="28"/>
          <w:szCs w:val="28"/>
        </w:rPr>
        <w:lastRenderedPageBreak/>
        <w:t>西高新区共建吉首大学科技园，围绕湘西十大产业链与湘西州联合筹建白酒、绿色矿业产业技术战略创新联盟，支持湘西</w:t>
      </w:r>
      <w:proofErr w:type="gramStart"/>
      <w:r w:rsidRPr="00C4178C">
        <w:rPr>
          <w:rFonts w:hint="eastAsia"/>
          <w:sz w:val="28"/>
          <w:szCs w:val="28"/>
        </w:rPr>
        <w:t>州成功</w:t>
      </w:r>
      <w:proofErr w:type="gramEnd"/>
      <w:r w:rsidRPr="00C4178C">
        <w:rPr>
          <w:rFonts w:hint="eastAsia"/>
          <w:sz w:val="28"/>
          <w:szCs w:val="28"/>
        </w:rPr>
        <w:t>申报世界农业非物质文化遗产，承担湘西州政府酒鬼酒品质改良“揭榜挂帅”项目。</w:t>
      </w:r>
    </w:p>
    <w:p w:rsidR="00C4178C" w:rsidRPr="00C4178C" w:rsidRDefault="00C4178C" w:rsidP="00C4178C">
      <w:pPr>
        <w:adjustRightInd w:val="0"/>
        <w:snapToGrid w:val="0"/>
        <w:spacing w:line="540" w:lineRule="exact"/>
        <w:ind w:firstLineChars="200" w:firstLine="560"/>
        <w:rPr>
          <w:sz w:val="28"/>
          <w:szCs w:val="28"/>
        </w:rPr>
      </w:pPr>
      <w:r w:rsidRPr="00C4178C">
        <w:rPr>
          <w:rFonts w:hint="eastAsia"/>
          <w:sz w:val="28"/>
          <w:szCs w:val="28"/>
        </w:rPr>
        <w:t>6.平安美丽校园加快建设步伐。加强校园文化建设，张家界、吉首校区首次同场举办田径运动会。《吉首大学关于进一步加强校园文化建设的实施方案》《吉首大学文化体育艺术活动实施方案》，组织开展“翠竹伴吉大 青年知清廉”主题系列活动，涵养现代大学文化。平安校园建设不断加强，对55万平方米校舍进行了全面安全排查，建成了实验室废水废气净化系统，按要求拆除了D级危房学校临街门面，在省教育厅组织的专家现场实验室安全检查中获得好评。进一步巩固加强校地校警联动“七共”工作模式，国安部、公安部、国家</w:t>
      </w:r>
      <w:proofErr w:type="gramStart"/>
      <w:r w:rsidRPr="00C4178C">
        <w:rPr>
          <w:rFonts w:hint="eastAsia"/>
          <w:sz w:val="28"/>
          <w:szCs w:val="28"/>
        </w:rPr>
        <w:t>反恐办等</w:t>
      </w:r>
      <w:proofErr w:type="gramEnd"/>
      <w:r w:rsidRPr="00C4178C">
        <w:rPr>
          <w:rFonts w:hint="eastAsia"/>
          <w:sz w:val="28"/>
          <w:szCs w:val="28"/>
        </w:rPr>
        <w:t>多次来校考察调研。</w:t>
      </w:r>
    </w:p>
    <w:p w:rsidR="00C4178C" w:rsidRPr="00314F74" w:rsidRDefault="00C4178C" w:rsidP="00314F74">
      <w:pPr>
        <w:spacing w:line="540" w:lineRule="exact"/>
        <w:ind w:firstLine="641"/>
        <w:rPr>
          <w:rFonts w:ascii="黑体" w:eastAsia="黑体" w:hAnsi="黑体"/>
          <w:sz w:val="32"/>
          <w:szCs w:val="32"/>
        </w:rPr>
      </w:pPr>
      <w:r w:rsidRPr="00314F74">
        <w:rPr>
          <w:rFonts w:ascii="黑体" w:eastAsia="黑体" w:hAnsi="黑体" w:hint="eastAsia"/>
          <w:sz w:val="32"/>
          <w:szCs w:val="32"/>
        </w:rPr>
        <w:t>七、存在的问题及原因分析</w:t>
      </w:r>
    </w:p>
    <w:p w:rsidR="00C4178C" w:rsidRPr="00C4178C" w:rsidRDefault="00C4178C" w:rsidP="00314F74">
      <w:pPr>
        <w:adjustRightInd w:val="0"/>
        <w:snapToGrid w:val="0"/>
        <w:spacing w:line="540" w:lineRule="exact"/>
        <w:ind w:firstLineChars="200" w:firstLine="560"/>
        <w:rPr>
          <w:sz w:val="28"/>
          <w:szCs w:val="28"/>
        </w:rPr>
      </w:pPr>
      <w:r w:rsidRPr="00C4178C">
        <w:rPr>
          <w:rFonts w:hint="eastAsia"/>
          <w:sz w:val="28"/>
          <w:szCs w:val="28"/>
        </w:rPr>
        <w:t>1.学校高速发展与资金不足矛盾日益凸显，尤其是人才引进与校园基础设施建设方面存在严重资金缺口。</w:t>
      </w:r>
    </w:p>
    <w:p w:rsidR="00C4178C" w:rsidRPr="00C4178C" w:rsidRDefault="00C4178C" w:rsidP="00314F74">
      <w:pPr>
        <w:adjustRightInd w:val="0"/>
        <w:snapToGrid w:val="0"/>
        <w:spacing w:line="540" w:lineRule="exact"/>
        <w:ind w:firstLineChars="200" w:firstLine="560"/>
        <w:rPr>
          <w:sz w:val="28"/>
          <w:szCs w:val="28"/>
        </w:rPr>
      </w:pPr>
      <w:r w:rsidRPr="00C4178C">
        <w:rPr>
          <w:rFonts w:hint="eastAsia"/>
          <w:sz w:val="28"/>
          <w:szCs w:val="28"/>
        </w:rPr>
        <w:t>2.个别专项经费的预算执行情况较缓慢，绩效完成情况与绩效目标还存在一定的差距。</w:t>
      </w:r>
    </w:p>
    <w:p w:rsidR="00C4178C" w:rsidRPr="00314F74" w:rsidRDefault="00C4178C" w:rsidP="00C4178C">
      <w:pPr>
        <w:spacing w:line="540" w:lineRule="exact"/>
        <w:ind w:firstLine="640"/>
        <w:rPr>
          <w:rFonts w:ascii="黑体" w:eastAsia="黑体" w:hAnsi="黑体"/>
          <w:sz w:val="32"/>
          <w:szCs w:val="32"/>
        </w:rPr>
      </w:pPr>
      <w:r w:rsidRPr="00314F74">
        <w:rPr>
          <w:rFonts w:ascii="黑体" w:eastAsia="黑体" w:hAnsi="黑体" w:hint="eastAsia"/>
          <w:sz w:val="32"/>
          <w:szCs w:val="32"/>
        </w:rPr>
        <w:t>八、下一步改进措施</w:t>
      </w:r>
    </w:p>
    <w:p w:rsidR="00C4178C" w:rsidRPr="00C4178C" w:rsidRDefault="00C4178C" w:rsidP="00504136">
      <w:pPr>
        <w:adjustRightInd w:val="0"/>
        <w:snapToGrid w:val="0"/>
        <w:spacing w:line="540" w:lineRule="exact"/>
        <w:ind w:firstLineChars="200" w:firstLine="560"/>
        <w:rPr>
          <w:sz w:val="28"/>
          <w:szCs w:val="28"/>
        </w:rPr>
      </w:pPr>
      <w:r w:rsidRPr="00C4178C">
        <w:rPr>
          <w:rFonts w:hint="eastAsia"/>
          <w:sz w:val="28"/>
          <w:szCs w:val="28"/>
        </w:rPr>
        <w:t>1.多渠道筹措办学经费，积极拓展办学资源，拓宽资金来源和保障渠道。</w:t>
      </w:r>
    </w:p>
    <w:p w:rsidR="00C4178C" w:rsidRPr="00C4178C" w:rsidRDefault="00C4178C" w:rsidP="00504136">
      <w:pPr>
        <w:adjustRightInd w:val="0"/>
        <w:snapToGrid w:val="0"/>
        <w:spacing w:line="540" w:lineRule="exact"/>
        <w:ind w:firstLineChars="200" w:firstLine="560"/>
        <w:rPr>
          <w:sz w:val="28"/>
          <w:szCs w:val="28"/>
        </w:rPr>
      </w:pPr>
      <w:r w:rsidRPr="00C4178C">
        <w:rPr>
          <w:rFonts w:hint="eastAsia"/>
          <w:sz w:val="28"/>
          <w:szCs w:val="28"/>
        </w:rPr>
        <w:t>2.督促项目实施单位早启动、早实施、早验收，对符合条件的项目按照项目进度支付相关款项，将预算资金管理贯穿于项目实施全过程中。</w:t>
      </w:r>
    </w:p>
    <w:p w:rsidR="00B87C8A" w:rsidRPr="00373973" w:rsidRDefault="00B87C8A" w:rsidP="00504136">
      <w:pPr>
        <w:spacing w:line="540" w:lineRule="exact"/>
        <w:ind w:firstLine="641"/>
        <w:rPr>
          <w:sz w:val="28"/>
          <w:szCs w:val="28"/>
        </w:rPr>
      </w:pPr>
    </w:p>
    <w:sectPr w:rsidR="00B87C8A" w:rsidRPr="00373973" w:rsidSect="00B87C8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0E9" w:rsidRDefault="001130E9" w:rsidP="002D1C8A">
      <w:r>
        <w:separator/>
      </w:r>
    </w:p>
  </w:endnote>
  <w:endnote w:type="continuationSeparator" w:id="0">
    <w:p w:rsidR="001130E9" w:rsidRDefault="001130E9" w:rsidP="002D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0E9" w:rsidRDefault="001130E9" w:rsidP="002D1C8A">
      <w:r>
        <w:separator/>
      </w:r>
    </w:p>
  </w:footnote>
  <w:footnote w:type="continuationSeparator" w:id="0">
    <w:p w:rsidR="001130E9" w:rsidRDefault="001130E9" w:rsidP="002D1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5ABAD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A5A8B45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698A5F9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504136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C094656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84ACDD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D9206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396C21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5AB4206C"/>
    <w:lvl w:ilvl="0">
      <w:start w:val="1"/>
      <w:numFmt w:val="decimal"/>
      <w:lvlText w:val="%1."/>
      <w:lvlJc w:val="left"/>
      <w:pPr>
        <w:tabs>
          <w:tab w:val="num" w:pos="360"/>
        </w:tabs>
        <w:ind w:left="360" w:hangingChars="200" w:hanging="360"/>
      </w:pPr>
    </w:lvl>
  </w:abstractNum>
  <w:abstractNum w:abstractNumId="9">
    <w:nsid w:val="FFFFFF89"/>
    <w:multiLevelType w:val="singleLevel"/>
    <w:tmpl w:val="9520530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44A316A"/>
    <w:multiLevelType w:val="hybridMultilevel"/>
    <w:tmpl w:val="D700BED6"/>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nsid w:val="2FB20EE1"/>
    <w:multiLevelType w:val="hybridMultilevel"/>
    <w:tmpl w:val="71AC3DD2"/>
    <w:lvl w:ilvl="0" w:tplc="A10E2276">
      <w:start w:val="1"/>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VlMjViYmUxNzJiNTAzNzhhYWU1OTMyYWE3NmUxYjAifQ=="/>
  </w:docVars>
  <w:rsids>
    <w:rsidRoot w:val="00172A27"/>
    <w:rsid w:val="00017946"/>
    <w:rsid w:val="00023FB0"/>
    <w:rsid w:val="00024FAA"/>
    <w:rsid w:val="000300E3"/>
    <w:rsid w:val="00033EDD"/>
    <w:rsid w:val="000921DA"/>
    <w:rsid w:val="000B593A"/>
    <w:rsid w:val="000D4FB2"/>
    <w:rsid w:val="000E29D8"/>
    <w:rsid w:val="000E50E4"/>
    <w:rsid w:val="000E7F01"/>
    <w:rsid w:val="000F51A6"/>
    <w:rsid w:val="000F7DB4"/>
    <w:rsid w:val="00112218"/>
    <w:rsid w:val="001130E9"/>
    <w:rsid w:val="00142C70"/>
    <w:rsid w:val="00143480"/>
    <w:rsid w:val="00146610"/>
    <w:rsid w:val="0016767A"/>
    <w:rsid w:val="00170AEE"/>
    <w:rsid w:val="00172A27"/>
    <w:rsid w:val="001E63C1"/>
    <w:rsid w:val="001F69B0"/>
    <w:rsid w:val="00211047"/>
    <w:rsid w:val="00212030"/>
    <w:rsid w:val="0023193E"/>
    <w:rsid w:val="0024402D"/>
    <w:rsid w:val="0024617C"/>
    <w:rsid w:val="002644E6"/>
    <w:rsid w:val="00267689"/>
    <w:rsid w:val="0028454C"/>
    <w:rsid w:val="002A5CDE"/>
    <w:rsid w:val="002C047B"/>
    <w:rsid w:val="002D1C8A"/>
    <w:rsid w:val="002D625C"/>
    <w:rsid w:val="003009D3"/>
    <w:rsid w:val="00314F74"/>
    <w:rsid w:val="00317683"/>
    <w:rsid w:val="00331910"/>
    <w:rsid w:val="003378BC"/>
    <w:rsid w:val="00373973"/>
    <w:rsid w:val="003C20D8"/>
    <w:rsid w:val="003D33C8"/>
    <w:rsid w:val="003D3557"/>
    <w:rsid w:val="003F084F"/>
    <w:rsid w:val="003F0F38"/>
    <w:rsid w:val="003F4204"/>
    <w:rsid w:val="00461BB2"/>
    <w:rsid w:val="00462EEF"/>
    <w:rsid w:val="00473113"/>
    <w:rsid w:val="00483D14"/>
    <w:rsid w:val="004A425C"/>
    <w:rsid w:val="004A4DC4"/>
    <w:rsid w:val="004A7B8B"/>
    <w:rsid w:val="004B40B1"/>
    <w:rsid w:val="004D02BD"/>
    <w:rsid w:val="00504136"/>
    <w:rsid w:val="00515512"/>
    <w:rsid w:val="0052056A"/>
    <w:rsid w:val="00535399"/>
    <w:rsid w:val="00556574"/>
    <w:rsid w:val="005832F9"/>
    <w:rsid w:val="00591AB9"/>
    <w:rsid w:val="00592C87"/>
    <w:rsid w:val="0059743D"/>
    <w:rsid w:val="005C563B"/>
    <w:rsid w:val="005D44BF"/>
    <w:rsid w:val="005D72A6"/>
    <w:rsid w:val="005F4577"/>
    <w:rsid w:val="00603AFA"/>
    <w:rsid w:val="00612DDE"/>
    <w:rsid w:val="006417C5"/>
    <w:rsid w:val="00657CA8"/>
    <w:rsid w:val="00685D71"/>
    <w:rsid w:val="006D3A5F"/>
    <w:rsid w:val="006F2879"/>
    <w:rsid w:val="006F7EE2"/>
    <w:rsid w:val="0071395F"/>
    <w:rsid w:val="0072615D"/>
    <w:rsid w:val="0074118E"/>
    <w:rsid w:val="0074685C"/>
    <w:rsid w:val="007479CE"/>
    <w:rsid w:val="00765B9F"/>
    <w:rsid w:val="00771F5E"/>
    <w:rsid w:val="00783A75"/>
    <w:rsid w:val="00790136"/>
    <w:rsid w:val="00793FA0"/>
    <w:rsid w:val="007A0BC1"/>
    <w:rsid w:val="007A2648"/>
    <w:rsid w:val="007A4732"/>
    <w:rsid w:val="007B0FA0"/>
    <w:rsid w:val="007C525E"/>
    <w:rsid w:val="007C556A"/>
    <w:rsid w:val="007E538C"/>
    <w:rsid w:val="007F2DB5"/>
    <w:rsid w:val="007F7A26"/>
    <w:rsid w:val="00803058"/>
    <w:rsid w:val="0082137C"/>
    <w:rsid w:val="00827399"/>
    <w:rsid w:val="00834D32"/>
    <w:rsid w:val="00836B1C"/>
    <w:rsid w:val="00840306"/>
    <w:rsid w:val="0084256A"/>
    <w:rsid w:val="008741C5"/>
    <w:rsid w:val="0087692E"/>
    <w:rsid w:val="0088429C"/>
    <w:rsid w:val="008A3F70"/>
    <w:rsid w:val="008A44E9"/>
    <w:rsid w:val="008C38E4"/>
    <w:rsid w:val="008D1106"/>
    <w:rsid w:val="008F7D05"/>
    <w:rsid w:val="00900EC5"/>
    <w:rsid w:val="00905146"/>
    <w:rsid w:val="00906FDB"/>
    <w:rsid w:val="009137D7"/>
    <w:rsid w:val="00930D56"/>
    <w:rsid w:val="00931FE7"/>
    <w:rsid w:val="0094525D"/>
    <w:rsid w:val="00945465"/>
    <w:rsid w:val="00980C36"/>
    <w:rsid w:val="00987D23"/>
    <w:rsid w:val="009A48B7"/>
    <w:rsid w:val="009B01C2"/>
    <w:rsid w:val="009B5C86"/>
    <w:rsid w:val="009D261B"/>
    <w:rsid w:val="009D5B68"/>
    <w:rsid w:val="009F2B1E"/>
    <w:rsid w:val="009F4C9F"/>
    <w:rsid w:val="009F5431"/>
    <w:rsid w:val="00A10504"/>
    <w:rsid w:val="00A1397F"/>
    <w:rsid w:val="00A2322C"/>
    <w:rsid w:val="00A30F07"/>
    <w:rsid w:val="00A31581"/>
    <w:rsid w:val="00A43A12"/>
    <w:rsid w:val="00A4578A"/>
    <w:rsid w:val="00A462A7"/>
    <w:rsid w:val="00A8447A"/>
    <w:rsid w:val="00A85AF5"/>
    <w:rsid w:val="00AA6637"/>
    <w:rsid w:val="00AB139F"/>
    <w:rsid w:val="00AB6648"/>
    <w:rsid w:val="00AD21AA"/>
    <w:rsid w:val="00AD226E"/>
    <w:rsid w:val="00AD474E"/>
    <w:rsid w:val="00AD5EDE"/>
    <w:rsid w:val="00AE2765"/>
    <w:rsid w:val="00AF164B"/>
    <w:rsid w:val="00AF481F"/>
    <w:rsid w:val="00B11FCD"/>
    <w:rsid w:val="00B130A7"/>
    <w:rsid w:val="00B237E9"/>
    <w:rsid w:val="00B35A8F"/>
    <w:rsid w:val="00B47AF5"/>
    <w:rsid w:val="00B6107F"/>
    <w:rsid w:val="00B62A5C"/>
    <w:rsid w:val="00B63611"/>
    <w:rsid w:val="00B66BB3"/>
    <w:rsid w:val="00B75F5A"/>
    <w:rsid w:val="00B81DF5"/>
    <w:rsid w:val="00B87C8A"/>
    <w:rsid w:val="00BA29D2"/>
    <w:rsid w:val="00BA356D"/>
    <w:rsid w:val="00BB4E3A"/>
    <w:rsid w:val="00BB7447"/>
    <w:rsid w:val="00BC7FC7"/>
    <w:rsid w:val="00BD3B22"/>
    <w:rsid w:val="00C158FE"/>
    <w:rsid w:val="00C379C8"/>
    <w:rsid w:val="00C4178C"/>
    <w:rsid w:val="00C4251E"/>
    <w:rsid w:val="00C4487C"/>
    <w:rsid w:val="00C500CE"/>
    <w:rsid w:val="00C53754"/>
    <w:rsid w:val="00C61114"/>
    <w:rsid w:val="00C62F1C"/>
    <w:rsid w:val="00C96785"/>
    <w:rsid w:val="00C96872"/>
    <w:rsid w:val="00CA17BF"/>
    <w:rsid w:val="00CA5E48"/>
    <w:rsid w:val="00CC2BDC"/>
    <w:rsid w:val="00CC2FD8"/>
    <w:rsid w:val="00CF6605"/>
    <w:rsid w:val="00D00134"/>
    <w:rsid w:val="00D0235F"/>
    <w:rsid w:val="00D024A8"/>
    <w:rsid w:val="00D1223F"/>
    <w:rsid w:val="00D26140"/>
    <w:rsid w:val="00D2661D"/>
    <w:rsid w:val="00D472CF"/>
    <w:rsid w:val="00D660B3"/>
    <w:rsid w:val="00DA145A"/>
    <w:rsid w:val="00DC272D"/>
    <w:rsid w:val="00DC5B65"/>
    <w:rsid w:val="00DE39B0"/>
    <w:rsid w:val="00DE490E"/>
    <w:rsid w:val="00DF0662"/>
    <w:rsid w:val="00E1428D"/>
    <w:rsid w:val="00E26879"/>
    <w:rsid w:val="00E5561C"/>
    <w:rsid w:val="00E70FAD"/>
    <w:rsid w:val="00E764E7"/>
    <w:rsid w:val="00E776C9"/>
    <w:rsid w:val="00E94A21"/>
    <w:rsid w:val="00EA1EEC"/>
    <w:rsid w:val="00EA3479"/>
    <w:rsid w:val="00EA36EF"/>
    <w:rsid w:val="00EA492B"/>
    <w:rsid w:val="00EB292C"/>
    <w:rsid w:val="00EC5189"/>
    <w:rsid w:val="00EC6769"/>
    <w:rsid w:val="00EC77AB"/>
    <w:rsid w:val="00ED4410"/>
    <w:rsid w:val="00EE2613"/>
    <w:rsid w:val="00F3533C"/>
    <w:rsid w:val="00F40E5C"/>
    <w:rsid w:val="00F46DBB"/>
    <w:rsid w:val="00F71C32"/>
    <w:rsid w:val="00F967E8"/>
    <w:rsid w:val="00FB5458"/>
    <w:rsid w:val="00FB6DD1"/>
    <w:rsid w:val="00FD3E4C"/>
    <w:rsid w:val="00FD41F4"/>
    <w:rsid w:val="00FD5607"/>
    <w:rsid w:val="00FF41FC"/>
    <w:rsid w:val="0C0F5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uiPriority="35"/>
    <w:lsdException w:name="Title" w:uiPriority="10"/>
    <w:lsdException w:name="Default Paragraph Font" w:uiPriority="1" w:unhideWhenUsed="1" w:qFormat="0"/>
    <w:lsdException w:name="Subtitle" w:uiPriority="11"/>
    <w:lsdException w:name="Date" w:unhideWhenUsed="1" w:qFormat="0"/>
    <w:lsdException w:name="Strong" w:uiPriority="22"/>
    <w:lsdException w:name="Emphasis" w:uiPriority="20"/>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qFormat="0"/>
    <w:lsdException w:name="No Spacing"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unhideWhenUsed="1"/>
    <w:lsdException w:name="Quote" w:semiHidden="1" w:unhideWhenUsed="1" w:qFormat="0"/>
    <w:lsdException w:name="Intense Quote"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483D14"/>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87C8A"/>
    <w:pPr>
      <w:ind w:leftChars="2500" w:left="100"/>
    </w:pPr>
  </w:style>
  <w:style w:type="paragraph" w:styleId="a4">
    <w:name w:val="footer"/>
    <w:basedOn w:val="a"/>
    <w:link w:val="Char0"/>
    <w:uiPriority w:val="99"/>
    <w:unhideWhenUsed/>
    <w:rsid w:val="00B87C8A"/>
    <w:pPr>
      <w:tabs>
        <w:tab w:val="center" w:pos="4153"/>
        <w:tab w:val="right" w:pos="8306"/>
      </w:tabs>
      <w:snapToGrid w:val="0"/>
    </w:pPr>
    <w:rPr>
      <w:sz w:val="18"/>
      <w:szCs w:val="18"/>
    </w:rPr>
  </w:style>
  <w:style w:type="paragraph" w:styleId="a5">
    <w:name w:val="header"/>
    <w:basedOn w:val="a"/>
    <w:link w:val="Char1"/>
    <w:uiPriority w:val="99"/>
    <w:unhideWhenUsed/>
    <w:rsid w:val="00B87C8A"/>
    <w:pPr>
      <w:pBdr>
        <w:bottom w:val="single" w:sz="6" w:space="1" w:color="auto"/>
      </w:pBdr>
      <w:tabs>
        <w:tab w:val="center" w:pos="4153"/>
        <w:tab w:val="right" w:pos="8306"/>
      </w:tabs>
      <w:snapToGrid w:val="0"/>
      <w:jc w:val="center"/>
    </w:pPr>
    <w:rPr>
      <w:sz w:val="18"/>
      <w:szCs w:val="18"/>
    </w:rPr>
  </w:style>
  <w:style w:type="paragraph" w:customStyle="1" w:styleId="Default">
    <w:name w:val="Default"/>
    <w:unhideWhenUsed/>
    <w:qFormat/>
    <w:rsid w:val="00B87C8A"/>
    <w:pPr>
      <w:widowControl w:val="0"/>
      <w:autoSpaceDE w:val="0"/>
      <w:autoSpaceDN w:val="0"/>
      <w:adjustRightInd w:val="0"/>
      <w:ind w:firstLine="641"/>
      <w:jc w:val="both"/>
    </w:pPr>
    <w:rPr>
      <w:rFonts w:ascii="黑体" w:eastAsia="黑体" w:hAnsi="Calibri" w:cs="黑体" w:hint="eastAsia"/>
      <w:color w:val="000000"/>
      <w:sz w:val="24"/>
      <w:szCs w:val="24"/>
    </w:rPr>
  </w:style>
  <w:style w:type="paragraph" w:styleId="a6">
    <w:name w:val="List Paragraph"/>
    <w:basedOn w:val="a"/>
    <w:uiPriority w:val="34"/>
    <w:unhideWhenUsed/>
    <w:qFormat/>
    <w:rsid w:val="00B87C8A"/>
    <w:pPr>
      <w:ind w:firstLineChars="200" w:firstLine="420"/>
    </w:pPr>
  </w:style>
  <w:style w:type="paragraph" w:customStyle="1" w:styleId="GB2312">
    <w:name w:val="样式 仿宋_GB2312 四号"/>
    <w:basedOn w:val="a"/>
    <w:unhideWhenUsed/>
    <w:qFormat/>
    <w:rsid w:val="00B87C8A"/>
    <w:pPr>
      <w:spacing w:line="520" w:lineRule="exact"/>
      <w:ind w:firstLineChars="200" w:firstLine="200"/>
    </w:pPr>
    <w:rPr>
      <w:rFonts w:ascii="仿宋_GB2312" w:eastAsia="仿宋_GB2312" w:hAnsi="仿宋_GB2312"/>
      <w:sz w:val="28"/>
      <w:szCs w:val="20"/>
    </w:rPr>
  </w:style>
  <w:style w:type="character" w:customStyle="1" w:styleId="Char1">
    <w:name w:val="页眉 Char"/>
    <w:basedOn w:val="a0"/>
    <w:link w:val="a5"/>
    <w:uiPriority w:val="99"/>
    <w:unhideWhenUsed/>
    <w:locked/>
    <w:rsid w:val="00B87C8A"/>
    <w:rPr>
      <w:rFonts w:cs="Times New Roman" w:hint="default"/>
      <w:sz w:val="18"/>
      <w:szCs w:val="18"/>
    </w:rPr>
  </w:style>
  <w:style w:type="character" w:customStyle="1" w:styleId="Char0">
    <w:name w:val="页脚 Char"/>
    <w:basedOn w:val="a0"/>
    <w:link w:val="a4"/>
    <w:uiPriority w:val="99"/>
    <w:unhideWhenUsed/>
    <w:locked/>
    <w:rsid w:val="00B87C8A"/>
    <w:rPr>
      <w:rFonts w:cs="Times New Roman" w:hint="default"/>
      <w:sz w:val="18"/>
      <w:szCs w:val="18"/>
    </w:rPr>
  </w:style>
  <w:style w:type="character" w:customStyle="1" w:styleId="Char">
    <w:name w:val="日期 Char"/>
    <w:basedOn w:val="a0"/>
    <w:link w:val="a3"/>
    <w:uiPriority w:val="99"/>
    <w:unhideWhenUsed/>
    <w:locked/>
    <w:rsid w:val="00B87C8A"/>
    <w:rPr>
      <w:rFonts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8894">
      <w:bodyDiv w:val="1"/>
      <w:marLeft w:val="0"/>
      <w:marRight w:val="0"/>
      <w:marTop w:val="0"/>
      <w:marBottom w:val="0"/>
      <w:divBdr>
        <w:top w:val="none" w:sz="0" w:space="0" w:color="auto"/>
        <w:left w:val="none" w:sz="0" w:space="0" w:color="auto"/>
        <w:bottom w:val="none" w:sz="0" w:space="0" w:color="auto"/>
        <w:right w:val="none" w:sz="0" w:space="0" w:color="auto"/>
      </w:divBdr>
    </w:div>
    <w:div w:id="186140845">
      <w:bodyDiv w:val="1"/>
      <w:marLeft w:val="0"/>
      <w:marRight w:val="0"/>
      <w:marTop w:val="0"/>
      <w:marBottom w:val="0"/>
      <w:divBdr>
        <w:top w:val="none" w:sz="0" w:space="0" w:color="auto"/>
        <w:left w:val="none" w:sz="0" w:space="0" w:color="auto"/>
        <w:bottom w:val="none" w:sz="0" w:space="0" w:color="auto"/>
        <w:right w:val="none" w:sz="0" w:space="0" w:color="auto"/>
      </w:divBdr>
    </w:div>
    <w:div w:id="338700259">
      <w:bodyDiv w:val="1"/>
      <w:marLeft w:val="0"/>
      <w:marRight w:val="0"/>
      <w:marTop w:val="0"/>
      <w:marBottom w:val="0"/>
      <w:divBdr>
        <w:top w:val="none" w:sz="0" w:space="0" w:color="auto"/>
        <w:left w:val="none" w:sz="0" w:space="0" w:color="auto"/>
        <w:bottom w:val="none" w:sz="0" w:space="0" w:color="auto"/>
        <w:right w:val="none" w:sz="0" w:space="0" w:color="auto"/>
      </w:divBdr>
    </w:div>
    <w:div w:id="515846612">
      <w:bodyDiv w:val="1"/>
      <w:marLeft w:val="0"/>
      <w:marRight w:val="0"/>
      <w:marTop w:val="0"/>
      <w:marBottom w:val="0"/>
      <w:divBdr>
        <w:top w:val="none" w:sz="0" w:space="0" w:color="auto"/>
        <w:left w:val="none" w:sz="0" w:space="0" w:color="auto"/>
        <w:bottom w:val="none" w:sz="0" w:space="0" w:color="auto"/>
        <w:right w:val="none" w:sz="0" w:space="0" w:color="auto"/>
      </w:divBdr>
    </w:div>
    <w:div w:id="548495496">
      <w:bodyDiv w:val="1"/>
      <w:marLeft w:val="0"/>
      <w:marRight w:val="0"/>
      <w:marTop w:val="0"/>
      <w:marBottom w:val="0"/>
      <w:divBdr>
        <w:top w:val="none" w:sz="0" w:space="0" w:color="auto"/>
        <w:left w:val="none" w:sz="0" w:space="0" w:color="auto"/>
        <w:bottom w:val="none" w:sz="0" w:space="0" w:color="auto"/>
        <w:right w:val="none" w:sz="0" w:space="0" w:color="auto"/>
      </w:divBdr>
    </w:div>
    <w:div w:id="573780397">
      <w:bodyDiv w:val="1"/>
      <w:marLeft w:val="0"/>
      <w:marRight w:val="0"/>
      <w:marTop w:val="0"/>
      <w:marBottom w:val="0"/>
      <w:divBdr>
        <w:top w:val="none" w:sz="0" w:space="0" w:color="auto"/>
        <w:left w:val="none" w:sz="0" w:space="0" w:color="auto"/>
        <w:bottom w:val="none" w:sz="0" w:space="0" w:color="auto"/>
        <w:right w:val="none" w:sz="0" w:space="0" w:color="auto"/>
      </w:divBdr>
    </w:div>
    <w:div w:id="1122572586">
      <w:bodyDiv w:val="1"/>
      <w:marLeft w:val="0"/>
      <w:marRight w:val="0"/>
      <w:marTop w:val="0"/>
      <w:marBottom w:val="0"/>
      <w:divBdr>
        <w:top w:val="none" w:sz="0" w:space="0" w:color="auto"/>
        <w:left w:val="none" w:sz="0" w:space="0" w:color="auto"/>
        <w:bottom w:val="none" w:sz="0" w:space="0" w:color="auto"/>
        <w:right w:val="none" w:sz="0" w:space="0" w:color="auto"/>
      </w:divBdr>
    </w:div>
    <w:div w:id="1123960542">
      <w:bodyDiv w:val="1"/>
      <w:marLeft w:val="0"/>
      <w:marRight w:val="0"/>
      <w:marTop w:val="0"/>
      <w:marBottom w:val="0"/>
      <w:divBdr>
        <w:top w:val="none" w:sz="0" w:space="0" w:color="auto"/>
        <w:left w:val="none" w:sz="0" w:space="0" w:color="auto"/>
        <w:bottom w:val="none" w:sz="0" w:space="0" w:color="auto"/>
        <w:right w:val="none" w:sz="0" w:space="0" w:color="auto"/>
      </w:divBdr>
    </w:div>
    <w:div w:id="1137340360">
      <w:bodyDiv w:val="1"/>
      <w:marLeft w:val="0"/>
      <w:marRight w:val="0"/>
      <w:marTop w:val="0"/>
      <w:marBottom w:val="0"/>
      <w:divBdr>
        <w:top w:val="none" w:sz="0" w:space="0" w:color="auto"/>
        <w:left w:val="none" w:sz="0" w:space="0" w:color="auto"/>
        <w:bottom w:val="none" w:sz="0" w:space="0" w:color="auto"/>
        <w:right w:val="none" w:sz="0" w:space="0" w:color="auto"/>
      </w:divBdr>
    </w:div>
    <w:div w:id="1160929596">
      <w:bodyDiv w:val="1"/>
      <w:marLeft w:val="0"/>
      <w:marRight w:val="0"/>
      <w:marTop w:val="0"/>
      <w:marBottom w:val="0"/>
      <w:divBdr>
        <w:top w:val="none" w:sz="0" w:space="0" w:color="auto"/>
        <w:left w:val="none" w:sz="0" w:space="0" w:color="auto"/>
        <w:bottom w:val="none" w:sz="0" w:space="0" w:color="auto"/>
        <w:right w:val="none" w:sz="0" w:space="0" w:color="auto"/>
      </w:divBdr>
    </w:div>
    <w:div w:id="1179923873">
      <w:bodyDiv w:val="1"/>
      <w:marLeft w:val="0"/>
      <w:marRight w:val="0"/>
      <w:marTop w:val="0"/>
      <w:marBottom w:val="0"/>
      <w:divBdr>
        <w:top w:val="none" w:sz="0" w:space="0" w:color="auto"/>
        <w:left w:val="none" w:sz="0" w:space="0" w:color="auto"/>
        <w:bottom w:val="none" w:sz="0" w:space="0" w:color="auto"/>
        <w:right w:val="none" w:sz="0" w:space="0" w:color="auto"/>
      </w:divBdr>
    </w:div>
    <w:div w:id="1288510897">
      <w:bodyDiv w:val="1"/>
      <w:marLeft w:val="0"/>
      <w:marRight w:val="0"/>
      <w:marTop w:val="0"/>
      <w:marBottom w:val="0"/>
      <w:divBdr>
        <w:top w:val="none" w:sz="0" w:space="0" w:color="auto"/>
        <w:left w:val="none" w:sz="0" w:space="0" w:color="auto"/>
        <w:bottom w:val="none" w:sz="0" w:space="0" w:color="auto"/>
        <w:right w:val="none" w:sz="0" w:space="0" w:color="auto"/>
      </w:divBdr>
    </w:div>
    <w:div w:id="1316572223">
      <w:bodyDiv w:val="1"/>
      <w:marLeft w:val="0"/>
      <w:marRight w:val="0"/>
      <w:marTop w:val="0"/>
      <w:marBottom w:val="0"/>
      <w:divBdr>
        <w:top w:val="none" w:sz="0" w:space="0" w:color="auto"/>
        <w:left w:val="none" w:sz="0" w:space="0" w:color="auto"/>
        <w:bottom w:val="none" w:sz="0" w:space="0" w:color="auto"/>
        <w:right w:val="none" w:sz="0" w:space="0" w:color="auto"/>
      </w:divBdr>
    </w:div>
    <w:div w:id="1349333892">
      <w:bodyDiv w:val="1"/>
      <w:marLeft w:val="0"/>
      <w:marRight w:val="0"/>
      <w:marTop w:val="0"/>
      <w:marBottom w:val="0"/>
      <w:divBdr>
        <w:top w:val="none" w:sz="0" w:space="0" w:color="auto"/>
        <w:left w:val="none" w:sz="0" w:space="0" w:color="auto"/>
        <w:bottom w:val="none" w:sz="0" w:space="0" w:color="auto"/>
        <w:right w:val="none" w:sz="0" w:space="0" w:color="auto"/>
      </w:divBdr>
    </w:div>
    <w:div w:id="1377464548">
      <w:bodyDiv w:val="1"/>
      <w:marLeft w:val="0"/>
      <w:marRight w:val="0"/>
      <w:marTop w:val="0"/>
      <w:marBottom w:val="0"/>
      <w:divBdr>
        <w:top w:val="none" w:sz="0" w:space="0" w:color="auto"/>
        <w:left w:val="none" w:sz="0" w:space="0" w:color="auto"/>
        <w:bottom w:val="none" w:sz="0" w:space="0" w:color="auto"/>
        <w:right w:val="none" w:sz="0" w:space="0" w:color="auto"/>
      </w:divBdr>
    </w:div>
    <w:div w:id="1501770607">
      <w:bodyDiv w:val="1"/>
      <w:marLeft w:val="0"/>
      <w:marRight w:val="0"/>
      <w:marTop w:val="0"/>
      <w:marBottom w:val="0"/>
      <w:divBdr>
        <w:top w:val="none" w:sz="0" w:space="0" w:color="auto"/>
        <w:left w:val="none" w:sz="0" w:space="0" w:color="auto"/>
        <w:bottom w:val="none" w:sz="0" w:space="0" w:color="auto"/>
        <w:right w:val="none" w:sz="0" w:space="0" w:color="auto"/>
      </w:divBdr>
    </w:div>
    <w:div w:id="1647932351">
      <w:bodyDiv w:val="1"/>
      <w:marLeft w:val="0"/>
      <w:marRight w:val="0"/>
      <w:marTop w:val="0"/>
      <w:marBottom w:val="0"/>
      <w:divBdr>
        <w:top w:val="none" w:sz="0" w:space="0" w:color="auto"/>
        <w:left w:val="none" w:sz="0" w:space="0" w:color="auto"/>
        <w:bottom w:val="none" w:sz="0" w:space="0" w:color="auto"/>
        <w:right w:val="none" w:sz="0" w:space="0" w:color="auto"/>
      </w:divBdr>
    </w:div>
    <w:div w:id="1830093539">
      <w:bodyDiv w:val="1"/>
      <w:marLeft w:val="0"/>
      <w:marRight w:val="0"/>
      <w:marTop w:val="0"/>
      <w:marBottom w:val="0"/>
      <w:divBdr>
        <w:top w:val="none" w:sz="0" w:space="0" w:color="auto"/>
        <w:left w:val="none" w:sz="0" w:space="0" w:color="auto"/>
        <w:bottom w:val="none" w:sz="0" w:space="0" w:color="auto"/>
        <w:right w:val="none" w:sz="0" w:space="0" w:color="auto"/>
      </w:divBdr>
    </w:div>
    <w:div w:id="1974212515">
      <w:bodyDiv w:val="1"/>
      <w:marLeft w:val="0"/>
      <w:marRight w:val="0"/>
      <w:marTop w:val="0"/>
      <w:marBottom w:val="0"/>
      <w:divBdr>
        <w:top w:val="none" w:sz="0" w:space="0" w:color="auto"/>
        <w:left w:val="none" w:sz="0" w:space="0" w:color="auto"/>
        <w:bottom w:val="none" w:sz="0" w:space="0" w:color="auto"/>
        <w:right w:val="none" w:sz="0" w:space="0" w:color="auto"/>
      </w:divBdr>
    </w:div>
    <w:div w:id="206683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8162-DD72-4691-AF23-BB1FBC79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4350</Words>
  <Characters>24795</Characters>
  <Application>Microsoft Office Word</Application>
  <DocSecurity>0</DocSecurity>
  <Lines>206</Lines>
  <Paragraphs>58</Paragraphs>
  <ScaleCrop>false</ScaleCrop>
  <Company>Microsoft</Company>
  <LinksUpToDate>false</LinksUpToDate>
  <CharactersWithSpaces>29087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2024-08-28T13:21:00Z</dcterms:created>
  <dcterms:modified xsi:type="dcterms:W3CDTF">2024-09-04T00:05:00Z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D673B90D89CD41788A5811CB003F4069</vt:lpwstr>
  </property>
</Properties>
</file>