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7C8A" w:rsidRDefault="00B87C8A">
      <w:pPr>
        <w:autoSpaceDE w:val="0"/>
        <w:autoSpaceDN w:val="0"/>
        <w:adjustRightInd w:val="0"/>
        <w:ind w:firstLine="0"/>
        <w:rPr>
          <w:rFonts w:ascii="黑体" w:eastAsia="黑体" w:cs="黑体" w:hint="default"/>
          <w:kern w:val="0"/>
          <w:sz w:val="84"/>
          <w:szCs w:val="84"/>
        </w:rPr>
      </w:pPr>
      <w:bookmarkStart w:id="0" w:name="_GoBack"/>
      <w:bookmarkEnd w:id="0"/>
    </w:p>
    <w:p w:rsidR="00B87C8A" w:rsidRDefault="00B87C8A">
      <w:pPr>
        <w:autoSpaceDE w:val="0"/>
        <w:autoSpaceDN w:val="0"/>
        <w:adjustRightInd w:val="0"/>
        <w:ind w:firstLine="0"/>
        <w:rPr>
          <w:rFonts w:ascii="黑体" w:eastAsia="黑体" w:cs="黑体" w:hint="default"/>
          <w:kern w:val="0"/>
          <w:sz w:val="84"/>
          <w:szCs w:val="84"/>
        </w:rPr>
      </w:pPr>
    </w:p>
    <w:p w:rsidR="00B87C8A" w:rsidRDefault="00B87C8A">
      <w:pPr>
        <w:autoSpaceDE w:val="0"/>
        <w:autoSpaceDN w:val="0"/>
        <w:adjustRightInd w:val="0"/>
        <w:ind w:firstLine="0"/>
        <w:rPr>
          <w:rFonts w:ascii="黑体" w:eastAsia="黑体" w:cs="黑体" w:hint="default"/>
          <w:kern w:val="0"/>
          <w:sz w:val="84"/>
          <w:szCs w:val="84"/>
        </w:rPr>
      </w:pPr>
    </w:p>
    <w:p w:rsidR="00B87C8A" w:rsidRDefault="00B87C8A">
      <w:pPr>
        <w:autoSpaceDE w:val="0"/>
        <w:autoSpaceDN w:val="0"/>
        <w:adjustRightInd w:val="0"/>
        <w:ind w:firstLine="0"/>
        <w:rPr>
          <w:rFonts w:ascii="黑体" w:eastAsia="黑体" w:cs="黑体" w:hint="default"/>
          <w:kern w:val="0"/>
          <w:sz w:val="84"/>
          <w:szCs w:val="84"/>
        </w:rPr>
      </w:pPr>
    </w:p>
    <w:p w:rsidR="00B87C8A" w:rsidRDefault="002D1C8A">
      <w:pPr>
        <w:autoSpaceDE w:val="0"/>
        <w:autoSpaceDN w:val="0"/>
        <w:adjustRightInd w:val="0"/>
        <w:ind w:firstLine="0"/>
        <w:jc w:val="center"/>
        <w:rPr>
          <w:rFonts w:ascii="Times New Roman" w:eastAsia="黑体" w:hAnsi="Times New Roman" w:hint="default"/>
          <w:b/>
          <w:kern w:val="0"/>
          <w:sz w:val="96"/>
          <w:szCs w:val="96"/>
        </w:rPr>
      </w:pPr>
      <w:r>
        <w:rPr>
          <w:rFonts w:ascii="黑体" w:eastAsia="黑体" w:cs="黑体"/>
          <w:b/>
          <w:kern w:val="0"/>
          <w:sz w:val="96"/>
          <w:szCs w:val="96"/>
        </w:rPr>
        <w:t>2021年度</w:t>
      </w:r>
    </w:p>
    <w:p w:rsidR="00B87C8A" w:rsidRDefault="002D1C8A">
      <w:pPr>
        <w:autoSpaceDE w:val="0"/>
        <w:autoSpaceDN w:val="0"/>
        <w:adjustRightInd w:val="0"/>
        <w:ind w:firstLine="0"/>
        <w:jc w:val="center"/>
        <w:rPr>
          <w:rFonts w:ascii="黑体" w:eastAsia="黑体" w:hAnsi="Times New Roman" w:cs="黑体" w:hint="default"/>
          <w:kern w:val="0"/>
          <w:sz w:val="84"/>
          <w:szCs w:val="84"/>
        </w:rPr>
        <w:sectPr w:rsidR="00B87C8A">
          <w:pgSz w:w="12240" w:h="15840"/>
          <w:pgMar w:top="1440" w:right="720" w:bottom="1440" w:left="1800" w:header="720" w:footer="720" w:gutter="0"/>
          <w:cols w:space="720"/>
        </w:sectPr>
      </w:pPr>
      <w:r>
        <w:rPr>
          <w:rFonts w:ascii="黑体" w:eastAsia="黑体" w:hAnsi="Times New Roman" w:cs="黑体"/>
          <w:b/>
          <w:sz w:val="96"/>
          <w:szCs w:val="96"/>
          <w:lang w:val="zh-CN"/>
        </w:rPr>
        <w:t>吉首大学</w:t>
      </w:r>
      <w:r>
        <w:rPr>
          <w:rFonts w:ascii="黑体" w:eastAsia="黑体" w:hAnsi="Times New Roman" w:cs="黑体"/>
          <w:b/>
          <w:kern w:val="0"/>
          <w:sz w:val="96"/>
          <w:szCs w:val="96"/>
        </w:rPr>
        <w:t>部门决算</w:t>
      </w:r>
    </w:p>
    <w:p w:rsidR="00B87C8A" w:rsidRDefault="002D1C8A">
      <w:pPr>
        <w:autoSpaceDE w:val="0"/>
        <w:autoSpaceDN w:val="0"/>
        <w:adjustRightInd w:val="0"/>
        <w:spacing w:line="520" w:lineRule="exact"/>
        <w:jc w:val="center"/>
        <w:rPr>
          <w:rFonts w:ascii="宋体" w:hAnsi="Times New Roman" w:cs="宋体" w:hint="default"/>
          <w:b/>
          <w:kern w:val="0"/>
          <w:sz w:val="44"/>
          <w:szCs w:val="44"/>
        </w:rPr>
      </w:pPr>
      <w:r>
        <w:rPr>
          <w:rFonts w:ascii="宋体" w:hAnsi="Times New Roman" w:cs="宋体"/>
          <w:b/>
          <w:kern w:val="0"/>
          <w:sz w:val="44"/>
          <w:szCs w:val="44"/>
        </w:rPr>
        <w:lastRenderedPageBreak/>
        <w:t>目 录</w:t>
      </w:r>
    </w:p>
    <w:p w:rsidR="00B87C8A" w:rsidRDefault="00B87C8A">
      <w:pPr>
        <w:autoSpaceDE w:val="0"/>
        <w:autoSpaceDN w:val="0"/>
        <w:adjustRightInd w:val="0"/>
        <w:spacing w:line="520" w:lineRule="exact"/>
        <w:jc w:val="left"/>
        <w:rPr>
          <w:rFonts w:ascii="黑体" w:eastAsia="黑体" w:hAnsi="Times New Roman" w:cs="黑体" w:hint="default"/>
          <w:b/>
          <w:kern w:val="0"/>
          <w:sz w:val="28"/>
          <w:szCs w:val="28"/>
        </w:rPr>
      </w:pPr>
    </w:p>
    <w:p w:rsidR="00B87C8A" w:rsidRDefault="002D1C8A">
      <w:pPr>
        <w:autoSpaceDE w:val="0"/>
        <w:autoSpaceDN w:val="0"/>
        <w:adjustRightInd w:val="0"/>
        <w:spacing w:line="520" w:lineRule="exact"/>
        <w:jc w:val="left"/>
        <w:rPr>
          <w:rFonts w:ascii="Times New Roman" w:eastAsia="黑体" w:hAnsi="Times New Roman" w:hint="default"/>
          <w:b/>
          <w:kern w:val="0"/>
          <w:sz w:val="28"/>
          <w:szCs w:val="28"/>
        </w:rPr>
      </w:pPr>
      <w:r>
        <w:rPr>
          <w:rFonts w:ascii="黑体" w:eastAsia="黑体" w:hAnsi="Times New Roman" w:cs="黑体"/>
          <w:b/>
          <w:kern w:val="0"/>
          <w:sz w:val="28"/>
          <w:szCs w:val="28"/>
        </w:rPr>
        <w:t xml:space="preserve">第一部分 </w:t>
      </w:r>
      <w:r>
        <w:rPr>
          <w:rFonts w:ascii="黑体" w:eastAsia="黑体" w:hAnsi="Times New Roman" w:cs="黑体"/>
          <w:b/>
          <w:sz w:val="28"/>
          <w:szCs w:val="28"/>
          <w:lang w:val="zh-CN"/>
        </w:rPr>
        <w:t>吉首大学</w:t>
      </w:r>
      <w:r>
        <w:rPr>
          <w:rFonts w:ascii="黑体" w:eastAsia="黑体" w:hAnsi="Times New Roman" w:cs="黑体"/>
          <w:b/>
          <w:kern w:val="0"/>
          <w:sz w:val="28"/>
          <w:szCs w:val="28"/>
        </w:rPr>
        <w:t>概况</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一、部门职责</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二、机构设置</w:t>
      </w:r>
    </w:p>
    <w:p w:rsidR="00B87C8A" w:rsidRDefault="002D1C8A">
      <w:pPr>
        <w:autoSpaceDE w:val="0"/>
        <w:autoSpaceDN w:val="0"/>
        <w:adjustRightInd w:val="0"/>
        <w:spacing w:line="520" w:lineRule="exact"/>
        <w:jc w:val="left"/>
        <w:rPr>
          <w:rFonts w:ascii="Times New Roman" w:eastAsia="黑体" w:hAnsi="Times New Roman" w:hint="default"/>
          <w:b/>
          <w:kern w:val="0"/>
          <w:sz w:val="28"/>
          <w:szCs w:val="28"/>
        </w:rPr>
      </w:pPr>
      <w:r>
        <w:rPr>
          <w:rFonts w:ascii="黑体" w:eastAsia="黑体" w:hAnsi="Times New Roman" w:cs="黑体"/>
          <w:b/>
          <w:kern w:val="0"/>
          <w:sz w:val="28"/>
          <w:szCs w:val="28"/>
        </w:rPr>
        <w:t>第二部分 吉首大学2021年度部门决算表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一、收入支出决算总表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二、收入决算表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三、支出决算表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四、财政拨款收入支出决算总表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五、一般公共预算财政拨款支出决算表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六、一般公共预算财政拨款基本支出决算表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七、一般公共预算财政拨款</w:t>
      </w:r>
      <w:r>
        <w:rPr>
          <w:rFonts w:ascii="Times New Roman" w:hAnsi="Times New Roman" w:hint="default"/>
          <w:kern w:val="0"/>
          <w:sz w:val="28"/>
          <w:szCs w:val="28"/>
        </w:rPr>
        <w:t>“</w:t>
      </w:r>
      <w:r>
        <w:rPr>
          <w:rFonts w:ascii="宋体" w:hAnsi="Times New Roman" w:cs="宋体"/>
          <w:kern w:val="0"/>
          <w:sz w:val="28"/>
          <w:szCs w:val="28"/>
        </w:rPr>
        <w:t>三公</w:t>
      </w:r>
      <w:r>
        <w:rPr>
          <w:rFonts w:ascii="Times New Roman" w:hAnsi="Times New Roman" w:hint="default"/>
          <w:kern w:val="0"/>
          <w:sz w:val="28"/>
          <w:szCs w:val="28"/>
        </w:rPr>
        <w:t>”</w:t>
      </w:r>
      <w:r>
        <w:rPr>
          <w:rFonts w:ascii="宋体" w:hAnsi="Times New Roman" w:cs="宋体"/>
          <w:kern w:val="0"/>
          <w:sz w:val="28"/>
          <w:szCs w:val="28"/>
        </w:rPr>
        <w:t>经费支出决算表</w:t>
      </w:r>
    </w:p>
    <w:p w:rsidR="00B87C8A" w:rsidRDefault="002D1C8A">
      <w:pPr>
        <w:autoSpaceDE w:val="0"/>
        <w:autoSpaceDN w:val="0"/>
        <w:adjustRightInd w:val="0"/>
        <w:spacing w:line="520" w:lineRule="exact"/>
        <w:ind w:firstLine="700"/>
        <w:jc w:val="left"/>
        <w:rPr>
          <w:rFonts w:ascii="宋体" w:hAnsi="Times New Roman" w:cs="宋体" w:hint="default"/>
          <w:kern w:val="0"/>
          <w:sz w:val="28"/>
          <w:szCs w:val="28"/>
        </w:rPr>
      </w:pPr>
      <w:r>
        <w:rPr>
          <w:rFonts w:ascii="宋体" w:hAnsi="Times New Roman" w:cs="宋体"/>
          <w:kern w:val="0"/>
          <w:sz w:val="28"/>
          <w:szCs w:val="28"/>
        </w:rPr>
        <w:t>八、政府性基金预算财政拨款收入支出决算表</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九、国有资本经营预算财政拨款支出决算表</w:t>
      </w:r>
    </w:p>
    <w:p w:rsidR="00B87C8A" w:rsidRDefault="002D1C8A">
      <w:pPr>
        <w:autoSpaceDE w:val="0"/>
        <w:autoSpaceDN w:val="0"/>
        <w:adjustRightInd w:val="0"/>
        <w:spacing w:line="520" w:lineRule="exact"/>
        <w:jc w:val="left"/>
        <w:rPr>
          <w:rFonts w:ascii="Times New Roman" w:eastAsia="黑体" w:hAnsi="Times New Roman" w:hint="default"/>
          <w:b/>
          <w:kern w:val="0"/>
          <w:sz w:val="28"/>
          <w:szCs w:val="28"/>
        </w:rPr>
      </w:pPr>
      <w:r>
        <w:rPr>
          <w:rFonts w:ascii="黑体" w:eastAsia="黑体" w:hAnsi="Times New Roman" w:cs="黑体"/>
          <w:b/>
          <w:kern w:val="0"/>
          <w:sz w:val="28"/>
          <w:szCs w:val="28"/>
        </w:rPr>
        <w:t>第三部分 吉首大学2021年度部门决算情况说明</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一、收入支出决算总体情况说明</w:t>
      </w:r>
    </w:p>
    <w:p w:rsidR="00B87C8A" w:rsidRDefault="002D1C8A">
      <w:pPr>
        <w:autoSpaceDE w:val="0"/>
        <w:autoSpaceDN w:val="0"/>
        <w:adjustRightInd w:val="0"/>
        <w:spacing w:line="520" w:lineRule="exact"/>
        <w:ind w:firstLine="700"/>
        <w:jc w:val="left"/>
        <w:rPr>
          <w:rFonts w:ascii="Times New Roman" w:hAnsi="Times New Roman" w:hint="default"/>
          <w:sz w:val="28"/>
          <w:szCs w:val="28"/>
        </w:rPr>
      </w:pPr>
      <w:r>
        <w:rPr>
          <w:rFonts w:ascii="宋体" w:hAnsi="Times New Roman" w:cs="宋体"/>
          <w:sz w:val="28"/>
          <w:szCs w:val="28"/>
        </w:rPr>
        <w:t>二、收入决算情况说明</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三、支出决算情况说明</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四、财政拨款收入支出决算总体情况说明</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五、一般公共预算财政拨款支出决算情况说明</w:t>
      </w:r>
    </w:p>
    <w:p w:rsidR="00B87C8A" w:rsidRDefault="002D1C8A">
      <w:pPr>
        <w:autoSpaceDE w:val="0"/>
        <w:autoSpaceDN w:val="0"/>
        <w:adjustRightInd w:val="0"/>
        <w:spacing w:line="520" w:lineRule="exact"/>
        <w:ind w:firstLine="700"/>
        <w:jc w:val="left"/>
        <w:rPr>
          <w:rFonts w:ascii="Times New Roman" w:hAnsi="Times New Roman" w:hint="default"/>
          <w:kern w:val="0"/>
          <w:sz w:val="28"/>
          <w:szCs w:val="28"/>
        </w:rPr>
      </w:pPr>
      <w:r>
        <w:rPr>
          <w:rFonts w:ascii="宋体" w:hAnsi="Times New Roman" w:cs="宋体"/>
          <w:kern w:val="0"/>
          <w:sz w:val="28"/>
          <w:szCs w:val="28"/>
        </w:rPr>
        <w:t>六、一般公共预算财政拨款基本支出决算情况说明</w:t>
      </w:r>
    </w:p>
    <w:p w:rsidR="00B87C8A" w:rsidRDefault="002D1C8A">
      <w:pPr>
        <w:autoSpaceDE w:val="0"/>
        <w:autoSpaceDN w:val="0"/>
        <w:adjustRightInd w:val="0"/>
        <w:spacing w:line="520" w:lineRule="exact"/>
        <w:ind w:firstLine="700"/>
        <w:jc w:val="left"/>
        <w:rPr>
          <w:rFonts w:ascii="宋体" w:hAnsi="Times New Roman" w:cs="宋体" w:hint="default"/>
          <w:kern w:val="0"/>
          <w:sz w:val="28"/>
          <w:szCs w:val="28"/>
        </w:rPr>
      </w:pPr>
      <w:r>
        <w:rPr>
          <w:rFonts w:ascii="宋体" w:hAnsi="Times New Roman" w:cs="宋体"/>
          <w:kern w:val="0"/>
          <w:sz w:val="28"/>
          <w:szCs w:val="28"/>
        </w:rPr>
        <w:t>七、一般公共预算财政拨款三公经费支出决算情况说明</w:t>
      </w:r>
    </w:p>
    <w:p w:rsidR="00B87C8A" w:rsidRDefault="002D1C8A">
      <w:pPr>
        <w:autoSpaceDE w:val="0"/>
        <w:autoSpaceDN w:val="0"/>
        <w:adjustRightInd w:val="0"/>
        <w:spacing w:line="500" w:lineRule="exact"/>
        <w:ind w:firstLine="700"/>
        <w:jc w:val="left"/>
        <w:rPr>
          <w:rFonts w:ascii="宋体" w:hAnsi="Times New Roman" w:cs="宋体" w:hint="default"/>
          <w:kern w:val="0"/>
          <w:sz w:val="28"/>
          <w:szCs w:val="28"/>
        </w:rPr>
      </w:pPr>
      <w:r>
        <w:rPr>
          <w:rFonts w:ascii="宋体" w:hAnsi="Times New Roman" w:cs="宋体"/>
          <w:kern w:val="0"/>
          <w:sz w:val="28"/>
          <w:szCs w:val="28"/>
        </w:rPr>
        <w:t>八、政府性基金预算收入支出决算情况</w:t>
      </w:r>
    </w:p>
    <w:p w:rsidR="00B87C8A" w:rsidRDefault="002D1C8A">
      <w:pPr>
        <w:autoSpaceDE w:val="0"/>
        <w:autoSpaceDN w:val="0"/>
        <w:adjustRightInd w:val="0"/>
        <w:spacing w:line="500" w:lineRule="exact"/>
        <w:ind w:firstLine="700"/>
        <w:jc w:val="left"/>
        <w:rPr>
          <w:rFonts w:ascii="仿宋_GB2312" w:eastAsia="仿宋_GB2312" w:hAnsi="Times New Roman" w:cs="仿宋_GB2312" w:hint="default"/>
          <w:kern w:val="0"/>
          <w:sz w:val="28"/>
          <w:szCs w:val="28"/>
        </w:rPr>
      </w:pPr>
      <w:r>
        <w:rPr>
          <w:rFonts w:ascii="宋体" w:hAnsi="Times New Roman" w:cs="宋体"/>
          <w:kern w:val="0"/>
          <w:sz w:val="28"/>
          <w:szCs w:val="28"/>
        </w:rPr>
        <w:t>九、国有资本经营预算财政拨款支出决算情况</w:t>
      </w:r>
    </w:p>
    <w:p w:rsidR="00B87C8A" w:rsidRDefault="002D1C8A">
      <w:pPr>
        <w:autoSpaceDE w:val="0"/>
        <w:autoSpaceDN w:val="0"/>
        <w:adjustRightInd w:val="0"/>
        <w:spacing w:line="500" w:lineRule="exact"/>
        <w:ind w:firstLine="700"/>
        <w:jc w:val="left"/>
        <w:rPr>
          <w:rFonts w:ascii="仿宋_GB2312" w:eastAsia="仿宋_GB2312" w:hAnsi="Times New Roman" w:cs="仿宋_GB2312" w:hint="default"/>
          <w:kern w:val="0"/>
          <w:sz w:val="28"/>
          <w:szCs w:val="28"/>
        </w:rPr>
      </w:pPr>
      <w:r>
        <w:rPr>
          <w:rFonts w:ascii="宋体" w:hAnsi="Times New Roman" w:cs="宋体"/>
          <w:kern w:val="0"/>
          <w:sz w:val="28"/>
          <w:szCs w:val="28"/>
        </w:rPr>
        <w:lastRenderedPageBreak/>
        <w:t>十、关于机关运行经费支出说明</w:t>
      </w:r>
    </w:p>
    <w:p w:rsidR="00B87C8A" w:rsidRDefault="002D1C8A">
      <w:pPr>
        <w:autoSpaceDE w:val="0"/>
        <w:autoSpaceDN w:val="0"/>
        <w:adjustRightInd w:val="0"/>
        <w:spacing w:line="500" w:lineRule="exact"/>
        <w:ind w:firstLine="700"/>
        <w:jc w:val="left"/>
        <w:rPr>
          <w:rFonts w:ascii="仿宋_GB2312" w:eastAsia="仿宋_GB2312" w:hAnsi="Times New Roman" w:cs="仿宋_GB2312" w:hint="default"/>
          <w:kern w:val="0"/>
          <w:sz w:val="28"/>
          <w:szCs w:val="28"/>
        </w:rPr>
      </w:pPr>
      <w:r>
        <w:rPr>
          <w:rFonts w:ascii="宋体" w:hAnsi="Times New Roman" w:cs="宋体"/>
          <w:kern w:val="0"/>
          <w:sz w:val="28"/>
          <w:szCs w:val="28"/>
        </w:rPr>
        <w:t>十一、一般性支出情况</w:t>
      </w:r>
    </w:p>
    <w:p w:rsidR="00B87C8A" w:rsidRDefault="002D1C8A">
      <w:pPr>
        <w:autoSpaceDE w:val="0"/>
        <w:autoSpaceDN w:val="0"/>
        <w:adjustRightInd w:val="0"/>
        <w:spacing w:line="500" w:lineRule="exact"/>
        <w:ind w:firstLine="700"/>
        <w:jc w:val="left"/>
        <w:rPr>
          <w:rFonts w:ascii="仿宋_GB2312" w:eastAsia="仿宋_GB2312" w:hAnsi="Times New Roman" w:cs="仿宋_GB2312" w:hint="default"/>
          <w:kern w:val="0"/>
          <w:sz w:val="28"/>
          <w:szCs w:val="28"/>
        </w:rPr>
      </w:pPr>
      <w:r>
        <w:rPr>
          <w:rFonts w:ascii="宋体" w:hAnsi="Times New Roman" w:cs="宋体"/>
          <w:kern w:val="0"/>
          <w:sz w:val="28"/>
          <w:szCs w:val="28"/>
        </w:rPr>
        <w:t>十二、关于政府采购支出说明</w:t>
      </w:r>
    </w:p>
    <w:p w:rsidR="00B87C8A" w:rsidRDefault="002D1C8A">
      <w:pPr>
        <w:autoSpaceDE w:val="0"/>
        <w:autoSpaceDN w:val="0"/>
        <w:adjustRightInd w:val="0"/>
        <w:spacing w:line="500" w:lineRule="exact"/>
        <w:ind w:firstLine="700"/>
        <w:jc w:val="left"/>
        <w:rPr>
          <w:rFonts w:ascii="仿宋_GB2312" w:eastAsia="仿宋_GB2312" w:hAnsi="Times New Roman" w:cs="仿宋_GB2312" w:hint="default"/>
          <w:kern w:val="0"/>
          <w:sz w:val="28"/>
          <w:szCs w:val="28"/>
        </w:rPr>
      </w:pPr>
      <w:r>
        <w:rPr>
          <w:rFonts w:ascii="宋体" w:hAnsi="Times New Roman" w:cs="宋体"/>
          <w:kern w:val="0"/>
          <w:sz w:val="28"/>
          <w:szCs w:val="28"/>
        </w:rPr>
        <w:t>十三、关于国有资产占用情况说明</w:t>
      </w:r>
    </w:p>
    <w:p w:rsidR="00B87C8A" w:rsidRDefault="002D1C8A">
      <w:pPr>
        <w:autoSpaceDE w:val="0"/>
        <w:autoSpaceDN w:val="0"/>
        <w:adjustRightInd w:val="0"/>
        <w:spacing w:line="500" w:lineRule="exact"/>
        <w:ind w:firstLine="700"/>
        <w:jc w:val="left"/>
        <w:rPr>
          <w:rFonts w:ascii="宋体" w:hAnsi="Times New Roman" w:cs="宋体" w:hint="default"/>
          <w:sz w:val="28"/>
          <w:szCs w:val="28"/>
        </w:rPr>
      </w:pPr>
      <w:r>
        <w:rPr>
          <w:rFonts w:ascii="宋体" w:hAnsi="Times New Roman" w:cs="宋体"/>
          <w:kern w:val="0"/>
          <w:sz w:val="28"/>
          <w:szCs w:val="28"/>
        </w:rPr>
        <w:t>十四、关于2021年度预算绩效情况的说明</w:t>
      </w:r>
    </w:p>
    <w:p w:rsidR="00B87C8A" w:rsidRDefault="002D1C8A">
      <w:pPr>
        <w:autoSpaceDE w:val="0"/>
        <w:autoSpaceDN w:val="0"/>
        <w:adjustRightInd w:val="0"/>
        <w:spacing w:line="520" w:lineRule="exact"/>
        <w:jc w:val="left"/>
        <w:rPr>
          <w:rFonts w:ascii="Times New Roman" w:eastAsia="黑体" w:hAnsi="Times New Roman" w:hint="default"/>
          <w:b/>
          <w:kern w:val="0"/>
          <w:sz w:val="28"/>
          <w:szCs w:val="28"/>
        </w:rPr>
      </w:pPr>
      <w:r>
        <w:rPr>
          <w:rFonts w:ascii="黑体" w:eastAsia="黑体" w:hAnsi="Times New Roman" w:cs="黑体"/>
          <w:b/>
          <w:kern w:val="0"/>
          <w:sz w:val="28"/>
          <w:szCs w:val="28"/>
        </w:rPr>
        <w:t>第四部分 名词解释</w:t>
      </w:r>
    </w:p>
    <w:p w:rsidR="00B87C8A" w:rsidRDefault="002D1C8A">
      <w:pPr>
        <w:autoSpaceDE w:val="0"/>
        <w:autoSpaceDN w:val="0"/>
        <w:adjustRightInd w:val="0"/>
        <w:spacing w:line="520" w:lineRule="exact"/>
        <w:jc w:val="left"/>
        <w:rPr>
          <w:rFonts w:ascii="Times New Roman" w:eastAsia="黑体" w:hAnsi="Times New Roman" w:hint="default"/>
          <w:sz w:val="44"/>
          <w:szCs w:val="44"/>
          <w:lang w:val="zh-CN"/>
        </w:rPr>
      </w:pPr>
      <w:r>
        <w:rPr>
          <w:rFonts w:ascii="黑体" w:eastAsia="黑体" w:hAnsi="Times New Roman" w:cs="黑体"/>
          <w:b/>
          <w:kern w:val="0"/>
          <w:sz w:val="28"/>
          <w:szCs w:val="28"/>
        </w:rPr>
        <w:t>第五部分 附件</w:t>
      </w:r>
    </w:p>
    <w:p w:rsidR="00B87C8A" w:rsidRDefault="00B87C8A">
      <w:pPr>
        <w:autoSpaceDE w:val="0"/>
        <w:autoSpaceDN w:val="0"/>
        <w:adjustRightInd w:val="0"/>
        <w:spacing w:line="520" w:lineRule="exact"/>
        <w:jc w:val="left"/>
        <w:rPr>
          <w:rFonts w:ascii="黑体" w:eastAsia="黑体" w:hAnsi="Times New Roman" w:cs="黑体" w:hint="default"/>
          <w:sz w:val="32"/>
          <w:szCs w:val="32"/>
        </w:rPr>
        <w:sectPr w:rsidR="00B87C8A">
          <w:pgSz w:w="12240" w:h="15840"/>
          <w:pgMar w:top="1440" w:right="720" w:bottom="1440" w:left="1800" w:header="720" w:footer="720" w:gutter="0"/>
          <w:cols w:space="720"/>
        </w:sectPr>
      </w:pPr>
    </w:p>
    <w:p w:rsidR="00B87C8A" w:rsidRDefault="00B87C8A">
      <w:pPr>
        <w:autoSpaceDE w:val="0"/>
        <w:autoSpaceDN w:val="0"/>
        <w:adjustRightInd w:val="0"/>
        <w:ind w:firstLine="0"/>
        <w:rPr>
          <w:rFonts w:ascii="黑体" w:eastAsia="黑体" w:hAnsi="Times New Roman" w:cs="黑体" w:hint="default"/>
          <w:sz w:val="96"/>
          <w:szCs w:val="96"/>
        </w:rPr>
      </w:pPr>
    </w:p>
    <w:p w:rsidR="00B87C8A" w:rsidRDefault="00B87C8A">
      <w:pPr>
        <w:autoSpaceDE w:val="0"/>
        <w:autoSpaceDN w:val="0"/>
        <w:adjustRightInd w:val="0"/>
        <w:ind w:firstLine="0"/>
        <w:jc w:val="center"/>
        <w:rPr>
          <w:rFonts w:ascii="黑体" w:eastAsia="黑体" w:hAnsi="Times New Roman" w:cs="黑体" w:hint="default"/>
          <w:sz w:val="96"/>
          <w:szCs w:val="96"/>
        </w:rPr>
      </w:pPr>
    </w:p>
    <w:p w:rsidR="00B87C8A" w:rsidRDefault="00B87C8A">
      <w:pPr>
        <w:autoSpaceDE w:val="0"/>
        <w:autoSpaceDN w:val="0"/>
        <w:adjustRightInd w:val="0"/>
        <w:ind w:firstLine="0"/>
        <w:jc w:val="center"/>
        <w:rPr>
          <w:rFonts w:ascii="黑体" w:eastAsia="黑体" w:hAnsi="Times New Roman" w:cs="黑体" w:hint="default"/>
          <w:sz w:val="84"/>
          <w:szCs w:val="84"/>
        </w:rPr>
      </w:pPr>
    </w:p>
    <w:p w:rsidR="00B87C8A" w:rsidRDefault="00B87C8A">
      <w:pPr>
        <w:autoSpaceDE w:val="0"/>
        <w:autoSpaceDN w:val="0"/>
        <w:adjustRightInd w:val="0"/>
        <w:ind w:firstLine="0"/>
        <w:jc w:val="center"/>
        <w:rPr>
          <w:rFonts w:ascii="黑体" w:eastAsia="黑体" w:hAnsi="Times New Roman" w:cs="黑体" w:hint="default"/>
          <w:sz w:val="56"/>
          <w:szCs w:val="56"/>
        </w:rPr>
      </w:pPr>
    </w:p>
    <w:p w:rsidR="00B87C8A" w:rsidRDefault="002D1C8A">
      <w:pPr>
        <w:autoSpaceDE w:val="0"/>
        <w:autoSpaceDN w:val="0"/>
        <w:adjustRightInd w:val="0"/>
        <w:ind w:firstLine="0"/>
        <w:jc w:val="center"/>
        <w:rPr>
          <w:rFonts w:ascii="Times New Roman" w:eastAsia="黑体" w:hAnsi="Times New Roman" w:hint="default"/>
          <w:sz w:val="84"/>
          <w:szCs w:val="84"/>
          <w:lang w:val="zh-CN"/>
        </w:rPr>
      </w:pPr>
      <w:r>
        <w:rPr>
          <w:rFonts w:ascii="黑体" w:eastAsia="黑体" w:hAnsi="Times New Roman" w:cs="黑体"/>
          <w:sz w:val="84"/>
          <w:szCs w:val="84"/>
        </w:rPr>
        <w:t>第一部分</w:t>
      </w:r>
    </w:p>
    <w:p w:rsidR="00B87C8A" w:rsidRDefault="002D1C8A" w:rsidP="003F0F38">
      <w:pPr>
        <w:autoSpaceDE w:val="0"/>
        <w:autoSpaceDN w:val="0"/>
        <w:adjustRightInd w:val="0"/>
        <w:spacing w:beforeLines="100"/>
        <w:ind w:firstLine="0"/>
        <w:jc w:val="center"/>
        <w:rPr>
          <w:rFonts w:ascii="Times New Roman" w:eastAsia="黑体" w:hAnsi="Times New Roman" w:hint="default"/>
          <w:sz w:val="96"/>
          <w:szCs w:val="96"/>
          <w:lang w:val="zh-CN"/>
        </w:rPr>
      </w:pPr>
      <w:r>
        <w:rPr>
          <w:rFonts w:ascii="黑体" w:eastAsia="黑体" w:hAnsi="Times New Roman" w:cs="黑体"/>
          <w:sz w:val="84"/>
          <w:szCs w:val="84"/>
          <w:lang w:val="zh-CN"/>
        </w:rPr>
        <w:t>吉首大学</w:t>
      </w:r>
      <w:r>
        <w:rPr>
          <w:rFonts w:ascii="黑体" w:eastAsia="黑体" w:hAnsi="Times New Roman" w:cs="黑体"/>
          <w:sz w:val="84"/>
          <w:szCs w:val="84"/>
        </w:rPr>
        <w:t>概况</w:t>
      </w:r>
    </w:p>
    <w:p w:rsidR="00B87C8A" w:rsidRDefault="00B87C8A">
      <w:pPr>
        <w:autoSpaceDE w:val="0"/>
        <w:autoSpaceDN w:val="0"/>
        <w:adjustRightInd w:val="0"/>
        <w:jc w:val="center"/>
        <w:rPr>
          <w:rFonts w:ascii="宋体" w:hAnsi="Times New Roman" w:cs="宋体" w:hint="default"/>
          <w:sz w:val="96"/>
          <w:szCs w:val="96"/>
        </w:rPr>
        <w:sectPr w:rsidR="00B87C8A">
          <w:pgSz w:w="12240" w:h="15840"/>
          <w:pgMar w:top="1440" w:right="720" w:bottom="1440" w:left="1800" w:header="720" w:footer="720" w:gutter="0"/>
          <w:cols w:space="720"/>
        </w:sectPr>
      </w:pPr>
    </w:p>
    <w:p w:rsidR="00B87C8A" w:rsidRDefault="002D1C8A">
      <w:pPr>
        <w:autoSpaceDE w:val="0"/>
        <w:autoSpaceDN w:val="0"/>
        <w:adjustRightInd w:val="0"/>
        <w:spacing w:line="360" w:lineRule="auto"/>
        <w:ind w:firstLineChars="200" w:firstLine="640"/>
        <w:jc w:val="left"/>
        <w:rPr>
          <w:rFonts w:ascii="黑体" w:eastAsia="黑体" w:hAnsi="黑体" w:cs="黑体" w:hint="default"/>
          <w:sz w:val="32"/>
          <w:szCs w:val="32"/>
          <w:lang w:val="zh-CN"/>
        </w:rPr>
      </w:pPr>
      <w:r>
        <w:rPr>
          <w:rFonts w:ascii="黑体" w:eastAsia="黑体" w:hAnsi="黑体" w:cs="黑体"/>
          <w:sz w:val="32"/>
          <w:szCs w:val="32"/>
        </w:rPr>
        <w:lastRenderedPageBreak/>
        <w:t>一、</w:t>
      </w:r>
      <w:r>
        <w:rPr>
          <w:rFonts w:ascii="黑体" w:eastAsia="黑体" w:hAnsi="黑体" w:cs="黑体"/>
          <w:sz w:val="32"/>
          <w:szCs w:val="32"/>
          <w:lang w:val="zh-CN"/>
        </w:rPr>
        <w:t>部门职责</w:t>
      </w:r>
    </w:p>
    <w:p w:rsidR="00B87C8A" w:rsidRDefault="002D1C8A">
      <w:pPr>
        <w:spacing w:line="360" w:lineRule="auto"/>
        <w:ind w:firstLineChars="200" w:firstLine="560"/>
        <w:rPr>
          <w:rFonts w:ascii="宋体" w:hint="default"/>
          <w:sz w:val="28"/>
          <w:szCs w:val="28"/>
        </w:rPr>
      </w:pPr>
      <w:r>
        <w:rPr>
          <w:rFonts w:ascii="宋体" w:hAnsi="宋体" w:cs="宋体"/>
          <w:sz w:val="28"/>
          <w:szCs w:val="28"/>
        </w:rPr>
        <w:t>吉首大学是湖南省属综合性大学，也是武陵山</w:t>
      </w:r>
      <w:r w:rsidR="00803058">
        <w:rPr>
          <w:rFonts w:ascii="宋体" w:hAnsi="宋体" w:cs="宋体"/>
          <w:sz w:val="28"/>
          <w:szCs w:val="28"/>
        </w:rPr>
        <w:t>片区唯一的综合性大学。学校先后成为国家民委与湖南省政府共建高校</w:t>
      </w:r>
      <w:r>
        <w:rPr>
          <w:rFonts w:ascii="宋体" w:hAnsi="宋体" w:cs="宋体"/>
          <w:sz w:val="28"/>
          <w:szCs w:val="28"/>
        </w:rPr>
        <w:t>、博士学位授权单位、湖南省高水平建设大学、湖南省</w:t>
      </w:r>
      <w:r>
        <w:rPr>
          <w:rFonts w:ascii="宋体"/>
          <w:sz w:val="28"/>
          <w:szCs w:val="28"/>
        </w:rPr>
        <w:t>“</w:t>
      </w:r>
      <w:r>
        <w:rPr>
          <w:rFonts w:ascii="宋体" w:hAnsi="宋体" w:cs="宋体"/>
          <w:sz w:val="28"/>
          <w:szCs w:val="28"/>
        </w:rPr>
        <w:t>双一流</w:t>
      </w:r>
      <w:r>
        <w:rPr>
          <w:rFonts w:ascii="宋体"/>
          <w:sz w:val="28"/>
          <w:szCs w:val="28"/>
        </w:rPr>
        <w:t>”</w:t>
      </w:r>
      <w:r>
        <w:rPr>
          <w:rFonts w:ascii="宋体" w:hAnsi="宋体" w:cs="宋体"/>
          <w:sz w:val="28"/>
          <w:szCs w:val="28"/>
        </w:rPr>
        <w:t>建设高校、推荐优秀应届本科毕业生免试攻读硕士学位研究生普通高校。学校积极探索高等教育的办学规律与科学途径，认真履行高等学校在人才培养、科学研究、社会服务和文化传承中的职责使命。进入新时代，吉首大学正在抢抓机遇，提升内涵，努力将学校建成持色鲜明的高水平教学研究型综合性大学</w:t>
      </w:r>
    </w:p>
    <w:p w:rsidR="00B87C8A" w:rsidRDefault="002D1C8A">
      <w:pPr>
        <w:spacing w:line="360" w:lineRule="auto"/>
        <w:ind w:firstLineChars="200" w:firstLine="562"/>
        <w:rPr>
          <w:rFonts w:ascii="宋体" w:hint="default"/>
          <w:b/>
          <w:sz w:val="28"/>
          <w:szCs w:val="28"/>
        </w:rPr>
      </w:pPr>
      <w:r>
        <w:rPr>
          <w:rFonts w:ascii="宋体" w:hAnsi="宋体" w:cs="宋体"/>
          <w:b/>
          <w:sz w:val="28"/>
          <w:szCs w:val="28"/>
        </w:rPr>
        <w:t>（一）人才培养</w:t>
      </w:r>
    </w:p>
    <w:p w:rsidR="00B87C8A" w:rsidRDefault="002D1C8A">
      <w:pPr>
        <w:spacing w:line="360" w:lineRule="auto"/>
        <w:ind w:firstLineChars="200" w:firstLine="560"/>
        <w:rPr>
          <w:rFonts w:ascii="宋体" w:hint="default"/>
          <w:sz w:val="28"/>
          <w:szCs w:val="28"/>
        </w:rPr>
      </w:pPr>
      <w:r>
        <w:rPr>
          <w:rFonts w:ascii="宋体" w:hAnsi="宋体" w:cs="宋体"/>
          <w:sz w:val="28"/>
          <w:szCs w:val="28"/>
        </w:rPr>
        <w:t>学校根据国家政策、社会需要和自身办学条件，自主合理确定办学规模，调整办学结构，科学设置和调整学科、专业。依法招收学生，对学生实施教育和管理。根据办学定位及社会需要等，自主确立人才培养目标和要求，组织实施教育教学活动。学校依法向符合条件的毕业生颁发相应学业证书和学位证书。执行国家学位制度，依法授予学士、硕士、博士学位。并可向为社会发展和人类文明进步做出突出贡献的杰出人士授予名誉博士学位或其他荣誉称号。</w:t>
      </w:r>
    </w:p>
    <w:p w:rsidR="00B87C8A" w:rsidRDefault="002D1C8A">
      <w:pPr>
        <w:pStyle w:val="a6"/>
        <w:spacing w:line="360" w:lineRule="auto"/>
        <w:ind w:firstLineChars="0" w:firstLine="562"/>
        <w:rPr>
          <w:rFonts w:ascii="宋体" w:hint="default"/>
          <w:b/>
          <w:sz w:val="28"/>
          <w:szCs w:val="28"/>
        </w:rPr>
      </w:pPr>
      <w:r>
        <w:rPr>
          <w:rFonts w:ascii="宋体" w:hAnsi="宋体" w:cs="宋体"/>
          <w:b/>
          <w:sz w:val="28"/>
          <w:szCs w:val="28"/>
        </w:rPr>
        <w:t>（二）科学研究</w:t>
      </w:r>
    </w:p>
    <w:p w:rsidR="00B87C8A" w:rsidRDefault="002D1C8A">
      <w:pPr>
        <w:spacing w:line="360" w:lineRule="auto"/>
        <w:ind w:firstLineChars="200" w:firstLine="560"/>
        <w:rPr>
          <w:rFonts w:ascii="宋体" w:hint="default"/>
          <w:sz w:val="28"/>
          <w:szCs w:val="28"/>
        </w:rPr>
      </w:pPr>
      <w:r>
        <w:rPr>
          <w:rFonts w:ascii="宋体" w:hAnsi="宋体" w:cs="宋体"/>
          <w:sz w:val="28"/>
          <w:szCs w:val="28"/>
        </w:rPr>
        <w:t>学校面向学术前沿和社会需求，积极开展科学研究，促进知识创新和技术创新，致力于解决经济社会发展中的理论与实践问题。支持并组织教师、研究人员和学生开展各类科学研究，鼓励自由探索和科研创新，形成自身科研特色与优势，促进良好学术生态与优良学术传统的形成。学校推动科学研究与人才培养、社会服务、文化传承创新工作紧密结合，提高人才培养质量，增强服务社会能力，整体提升办学实力。学校尊重和保障教师、研究人员和学生在教学、研究和学习方面依法享有的学术自由，营造宽松而积极向上的学术环境，建立健全学术评价机</w:t>
      </w:r>
      <w:r>
        <w:rPr>
          <w:rFonts w:ascii="宋体" w:hAnsi="宋体" w:cs="宋体"/>
          <w:sz w:val="28"/>
          <w:szCs w:val="28"/>
        </w:rPr>
        <w:lastRenderedPageBreak/>
        <w:t>制，倡导学术平等，严格学术管理。学校加强学术道德宣传与学术诚信教育，反对和惩处学术不端行为。</w:t>
      </w:r>
    </w:p>
    <w:p w:rsidR="00B87C8A" w:rsidRDefault="002D1C8A">
      <w:pPr>
        <w:pStyle w:val="a6"/>
        <w:spacing w:line="360" w:lineRule="auto"/>
        <w:ind w:firstLineChars="0" w:firstLine="562"/>
        <w:rPr>
          <w:rFonts w:ascii="宋体" w:hint="default"/>
          <w:b/>
          <w:sz w:val="28"/>
          <w:szCs w:val="28"/>
        </w:rPr>
      </w:pPr>
      <w:r>
        <w:rPr>
          <w:rFonts w:ascii="宋体" w:hAnsi="宋体" w:cs="宋体"/>
          <w:b/>
          <w:sz w:val="28"/>
          <w:szCs w:val="28"/>
        </w:rPr>
        <w:t>（三）社会服务</w:t>
      </w:r>
    </w:p>
    <w:p w:rsidR="00B87C8A" w:rsidRDefault="002D1C8A">
      <w:pPr>
        <w:pStyle w:val="a6"/>
        <w:spacing w:line="360" w:lineRule="auto"/>
        <w:ind w:firstLine="560"/>
        <w:rPr>
          <w:rFonts w:ascii="宋体" w:hint="default"/>
          <w:sz w:val="28"/>
          <w:szCs w:val="28"/>
        </w:rPr>
      </w:pPr>
      <w:r>
        <w:rPr>
          <w:rFonts w:ascii="宋体" w:hAnsi="宋体" w:cs="宋体"/>
          <w:sz w:val="28"/>
          <w:szCs w:val="28"/>
        </w:rPr>
        <w:t>学校以人才培养和科学研究成果服务社会，积极为地方和国家经济社会发展提供人才与智力支持。学校树立主动服务社会意识，构建开放包容、合作共享的社会服务机制，构筑社会服务平台，提高对地方和国家经济社会发展的贡献度。学校利用人才优势充分发挥智囊团、思想库作用，为地方和国家经济社会发展提供决策咨询服务。学校建立健全档案、资料、信息、设施、设备等资源开放机制，面向社会提供资源共享服务。学校鼓励师生员工开展社区服务和志愿服务。</w:t>
      </w:r>
    </w:p>
    <w:p w:rsidR="00B87C8A" w:rsidRDefault="002D1C8A">
      <w:pPr>
        <w:pStyle w:val="a6"/>
        <w:spacing w:line="360" w:lineRule="auto"/>
        <w:ind w:firstLineChars="0" w:firstLine="562"/>
        <w:rPr>
          <w:rFonts w:ascii="宋体" w:hint="default"/>
          <w:b/>
          <w:sz w:val="28"/>
          <w:szCs w:val="28"/>
        </w:rPr>
      </w:pPr>
      <w:r>
        <w:rPr>
          <w:rFonts w:ascii="宋体" w:hAnsi="宋体" w:cs="宋体"/>
          <w:b/>
          <w:sz w:val="28"/>
          <w:szCs w:val="28"/>
        </w:rPr>
        <w:t>（四）文化传承与创新</w:t>
      </w:r>
    </w:p>
    <w:p w:rsidR="00B87C8A" w:rsidRDefault="002D1C8A">
      <w:pPr>
        <w:pStyle w:val="a6"/>
        <w:spacing w:line="360" w:lineRule="auto"/>
        <w:ind w:firstLine="560"/>
        <w:rPr>
          <w:rFonts w:ascii="宋体" w:hint="default"/>
          <w:sz w:val="28"/>
          <w:szCs w:val="28"/>
        </w:rPr>
      </w:pPr>
      <w:r>
        <w:rPr>
          <w:rFonts w:ascii="宋体" w:hAnsi="宋体" w:cs="宋体"/>
          <w:sz w:val="28"/>
          <w:szCs w:val="28"/>
        </w:rPr>
        <w:t>学校致力于优秀传统文化的传承与创新，促进民族优秀文化与世界先进文明交流融汇，并致力于地方民族优秀传统文化的发掘、整理、研究和传播，丰富中华民族文化宝库，发挥学校文化研究、示范与辐射功能，引领区域文化发展，促进各民族间文化交流与文化繁荣。学校坚持立德树人，以文化人，推进大学文化和大学精神建设，构建良好文化氛围，增强办学活力。</w:t>
      </w:r>
    </w:p>
    <w:p w:rsidR="00B87C8A" w:rsidRDefault="002D1C8A">
      <w:pPr>
        <w:pStyle w:val="a6"/>
        <w:spacing w:line="360" w:lineRule="auto"/>
        <w:ind w:firstLine="640"/>
        <w:rPr>
          <w:rFonts w:ascii="黑体" w:eastAsia="黑体" w:hAnsi="黑体" w:cs="黑体" w:hint="default"/>
          <w:sz w:val="32"/>
          <w:szCs w:val="32"/>
        </w:rPr>
      </w:pPr>
      <w:r>
        <w:rPr>
          <w:rFonts w:ascii="黑体" w:eastAsia="黑体" w:hAnsi="黑体" w:cs="黑体"/>
          <w:sz w:val="32"/>
          <w:szCs w:val="32"/>
        </w:rPr>
        <w:t>二、机构设置</w:t>
      </w:r>
      <w:r>
        <w:rPr>
          <w:rFonts w:ascii="黑体" w:eastAsia="黑体" w:hAnsi="黑体" w:cs="黑体"/>
          <w:sz w:val="32"/>
          <w:szCs w:val="32"/>
          <w:lang w:val="zh-CN"/>
        </w:rPr>
        <w:t>及</w:t>
      </w:r>
      <w:r>
        <w:rPr>
          <w:rFonts w:ascii="黑体" w:eastAsia="黑体" w:hAnsi="黑体" w:cs="黑体"/>
          <w:sz w:val="32"/>
          <w:szCs w:val="32"/>
        </w:rPr>
        <w:t>决算单位构成</w:t>
      </w:r>
    </w:p>
    <w:p w:rsidR="00B87C8A" w:rsidRDefault="002D1C8A">
      <w:pPr>
        <w:widowControl/>
        <w:spacing w:line="360" w:lineRule="auto"/>
        <w:ind w:firstLineChars="200" w:firstLine="562"/>
        <w:rPr>
          <w:rFonts w:ascii="宋体" w:hint="default"/>
          <w:kern w:val="0"/>
          <w:sz w:val="28"/>
          <w:szCs w:val="28"/>
        </w:rPr>
      </w:pPr>
      <w:r>
        <w:rPr>
          <w:rFonts w:ascii="宋体" w:hAnsi="宋体" w:cs="宋体"/>
          <w:b/>
          <w:kern w:val="0"/>
          <w:sz w:val="28"/>
          <w:szCs w:val="28"/>
        </w:rPr>
        <w:t>（一）内设机构设置。</w:t>
      </w:r>
      <w:r>
        <w:rPr>
          <w:rFonts w:ascii="宋体" w:hAnsi="宋体" w:cs="宋体"/>
          <w:kern w:val="0"/>
          <w:sz w:val="28"/>
          <w:szCs w:val="28"/>
        </w:rPr>
        <w:t>1、党政管理机构：党委办公室/校长办公室、党委组织部/党校、党委宣传部、党委统战部、学生工作部/武装部/学生工作处、离退休工作部/离退休工作处、发展规划与学科建设处/省部共建工作办公室、教务处、科技处、社会科学处、招生就业处、人事处、研究生处/研究生工作部、财务处、保卫处、审计处、后勤管理处、资产管理处、张家界校区办公室、张家界校区后勤与保卫处</w:t>
      </w:r>
    </w:p>
    <w:p w:rsidR="00B87C8A" w:rsidRDefault="002D1C8A">
      <w:pPr>
        <w:widowControl/>
        <w:spacing w:line="360" w:lineRule="auto"/>
        <w:ind w:firstLineChars="200" w:firstLine="560"/>
        <w:rPr>
          <w:rFonts w:ascii="宋体" w:cs="仿宋" w:hint="default"/>
          <w:kern w:val="0"/>
          <w:sz w:val="28"/>
          <w:szCs w:val="28"/>
        </w:rPr>
      </w:pPr>
      <w:r>
        <w:rPr>
          <w:rFonts w:ascii="宋体" w:hAnsi="宋体" w:cs="宋体"/>
          <w:kern w:val="0"/>
          <w:sz w:val="28"/>
          <w:szCs w:val="28"/>
        </w:rPr>
        <w:t>2、纪检监察机构：纪委办公室/监察室</w:t>
      </w:r>
    </w:p>
    <w:p w:rsidR="00B87C8A" w:rsidRDefault="002D1C8A">
      <w:pPr>
        <w:widowControl/>
        <w:spacing w:line="360" w:lineRule="auto"/>
        <w:ind w:firstLineChars="200" w:firstLine="560"/>
        <w:rPr>
          <w:rFonts w:ascii="宋体" w:cs="仿宋" w:hint="default"/>
          <w:kern w:val="0"/>
          <w:sz w:val="28"/>
          <w:szCs w:val="28"/>
        </w:rPr>
      </w:pPr>
      <w:r>
        <w:rPr>
          <w:rFonts w:ascii="宋体" w:hAnsi="宋体" w:cs="宋体"/>
          <w:kern w:val="0"/>
          <w:sz w:val="28"/>
          <w:szCs w:val="28"/>
        </w:rPr>
        <w:lastRenderedPageBreak/>
        <w:t>3、群团组织：校工会、校团委</w:t>
      </w:r>
    </w:p>
    <w:p w:rsidR="00B87C8A" w:rsidRDefault="002D1C8A">
      <w:pPr>
        <w:widowControl/>
        <w:spacing w:line="360" w:lineRule="auto"/>
        <w:ind w:firstLineChars="200" w:firstLine="560"/>
        <w:rPr>
          <w:rFonts w:ascii="宋体" w:cs="仿宋" w:hint="default"/>
          <w:kern w:val="0"/>
          <w:sz w:val="28"/>
          <w:szCs w:val="28"/>
        </w:rPr>
      </w:pPr>
      <w:r>
        <w:rPr>
          <w:rFonts w:ascii="宋体" w:hAnsi="宋体" w:cs="宋体"/>
          <w:kern w:val="0"/>
          <w:sz w:val="28"/>
          <w:szCs w:val="28"/>
        </w:rPr>
        <w:t>4、学院系部：马克思主义学院、文学与新闻传播学院、历史与文化学院、法学与公共管理学院、外国语学院、国际教育学院、商学院、旅游与管理工程学院、数学与统计学院、物理与机电工程学院、化学化工学院、生物资源与环境科学学院、信息科学与工程学院、软件学院、土木工程与建筑学院、医学院、体育科学学院、音乐舞蹈学院、美术学院、国防教育学院、少数民族预科教育学院、继续教育学院、哲学研究所、林产化工实验室、杜仲实验室</w:t>
      </w:r>
    </w:p>
    <w:p w:rsidR="00B87C8A" w:rsidRDefault="002D1C8A">
      <w:pPr>
        <w:widowControl/>
        <w:spacing w:line="360" w:lineRule="auto"/>
        <w:ind w:firstLineChars="200" w:firstLine="560"/>
        <w:rPr>
          <w:rFonts w:ascii="宋体" w:cs="仿宋" w:hint="default"/>
          <w:kern w:val="0"/>
          <w:sz w:val="28"/>
          <w:szCs w:val="28"/>
        </w:rPr>
      </w:pPr>
      <w:r>
        <w:rPr>
          <w:rFonts w:ascii="宋体" w:hAnsi="宋体" w:cs="宋体"/>
          <w:kern w:val="0"/>
          <w:sz w:val="28"/>
          <w:szCs w:val="28"/>
        </w:rPr>
        <w:t>5、校辅与直属单位：图书馆、信息化办公室/信息网络中心、实验室与设备管理中心、征地与基建办公室、学报编辑部、教学质量监控与评估中心/教师发展中心/教育科学研究院、采购与招投标管理中心、校友工作办公室、</w:t>
      </w:r>
      <w:r>
        <w:rPr>
          <w:rFonts w:ascii="宋体" w:hAnsi="宋体" w:cs="宋体"/>
          <w:sz w:val="28"/>
          <w:szCs w:val="28"/>
        </w:rPr>
        <w:t>国际合作与交流中心</w:t>
      </w:r>
      <w:r>
        <w:rPr>
          <w:rFonts w:ascii="宋体" w:hAnsi="宋体" w:cs="宋体"/>
          <w:kern w:val="0"/>
          <w:sz w:val="28"/>
          <w:szCs w:val="28"/>
        </w:rPr>
        <w:t>/</w:t>
      </w:r>
      <w:r>
        <w:rPr>
          <w:rFonts w:ascii="宋体" w:hAnsi="宋体" w:cs="宋体"/>
          <w:sz w:val="28"/>
          <w:szCs w:val="28"/>
        </w:rPr>
        <w:t>港澳台事务办公室、</w:t>
      </w:r>
      <w:r>
        <w:rPr>
          <w:rFonts w:ascii="宋体" w:hAnsi="宋体" w:cs="宋体"/>
          <w:kern w:val="0"/>
          <w:sz w:val="28"/>
          <w:szCs w:val="28"/>
        </w:rPr>
        <w:t>文化教育场馆管理中心/档案馆、校地合作办公室/武陵山区发展研究院、资产经营公司</w:t>
      </w:r>
    </w:p>
    <w:p w:rsidR="00B87C8A" w:rsidRDefault="002D1C8A">
      <w:pPr>
        <w:widowControl/>
        <w:spacing w:line="360" w:lineRule="auto"/>
        <w:ind w:firstLineChars="200" w:firstLine="560"/>
        <w:rPr>
          <w:rFonts w:ascii="宋体" w:hint="default"/>
          <w:kern w:val="0"/>
          <w:sz w:val="32"/>
          <w:szCs w:val="32"/>
        </w:rPr>
      </w:pPr>
      <w:r>
        <w:rPr>
          <w:rFonts w:ascii="宋体" w:hAnsi="宋体" w:cs="宋体"/>
          <w:kern w:val="0"/>
          <w:sz w:val="28"/>
          <w:szCs w:val="28"/>
        </w:rPr>
        <w:t>6、张家界校区派出机构：张家界校区教学科研管理办公室、张家界校区学生工作办公室/张家界校区团工委</w:t>
      </w:r>
    </w:p>
    <w:p w:rsidR="00B87C8A" w:rsidRDefault="002D1C8A">
      <w:pPr>
        <w:widowControl/>
        <w:spacing w:line="360" w:lineRule="auto"/>
        <w:ind w:firstLineChars="200" w:firstLine="562"/>
        <w:rPr>
          <w:rFonts w:ascii="宋体" w:hint="default"/>
          <w:kern w:val="0"/>
          <w:sz w:val="32"/>
          <w:szCs w:val="32"/>
        </w:rPr>
      </w:pPr>
      <w:r>
        <w:rPr>
          <w:rFonts w:ascii="宋体" w:hAnsi="宋体" w:cs="宋体"/>
          <w:b/>
          <w:kern w:val="0"/>
          <w:sz w:val="28"/>
          <w:szCs w:val="28"/>
        </w:rPr>
        <w:t>（二）决算单位构成。</w:t>
      </w:r>
      <w:r>
        <w:rPr>
          <w:rFonts w:ascii="宋体" w:hAnsi="宋体" w:cs="宋体"/>
          <w:kern w:val="0"/>
          <w:sz w:val="28"/>
          <w:szCs w:val="28"/>
        </w:rPr>
        <w:t>吉首大学部门决算报表公开单位构成包括： 吉首大学校本部，不含吉首大学师范学院和吉首大学张家界学院。</w:t>
      </w:r>
    </w:p>
    <w:p w:rsidR="00B87C8A" w:rsidRDefault="00B87C8A">
      <w:pPr>
        <w:widowControl/>
        <w:spacing w:line="600" w:lineRule="exact"/>
        <w:rPr>
          <w:rFonts w:ascii="黑体" w:eastAsia="黑体" w:hAnsi="Times New Roman" w:cs="黑体" w:hint="default"/>
          <w:sz w:val="32"/>
          <w:szCs w:val="32"/>
        </w:rPr>
      </w:pPr>
    </w:p>
    <w:p w:rsidR="00B87C8A" w:rsidRDefault="00B87C8A">
      <w:pPr>
        <w:widowControl/>
        <w:spacing w:line="600" w:lineRule="exact"/>
        <w:ind w:firstLine="0"/>
        <w:jc w:val="center"/>
        <w:rPr>
          <w:rFonts w:ascii="黑体" w:eastAsia="黑体" w:hAnsi="Times New Roman" w:cs="黑体" w:hint="default"/>
          <w:sz w:val="32"/>
          <w:szCs w:val="32"/>
        </w:rPr>
      </w:pPr>
    </w:p>
    <w:p w:rsidR="00B87C8A" w:rsidRDefault="00B87C8A">
      <w:pPr>
        <w:widowControl/>
        <w:spacing w:line="600" w:lineRule="exact"/>
        <w:ind w:firstLine="0"/>
        <w:jc w:val="center"/>
        <w:rPr>
          <w:rFonts w:ascii="黑体" w:eastAsia="黑体" w:hAnsi="Times New Roman" w:cs="黑体" w:hint="default"/>
          <w:sz w:val="32"/>
          <w:szCs w:val="32"/>
        </w:rPr>
      </w:pPr>
    </w:p>
    <w:p w:rsidR="00B87C8A" w:rsidRDefault="00B87C8A">
      <w:pPr>
        <w:widowControl/>
        <w:spacing w:line="600" w:lineRule="exact"/>
        <w:ind w:firstLine="0"/>
        <w:jc w:val="center"/>
        <w:rPr>
          <w:rFonts w:ascii="黑体" w:eastAsia="黑体" w:hAnsi="Times New Roman" w:cs="黑体" w:hint="default"/>
          <w:sz w:val="32"/>
          <w:szCs w:val="32"/>
        </w:rPr>
      </w:pPr>
    </w:p>
    <w:p w:rsidR="00B87C8A" w:rsidRDefault="00B87C8A">
      <w:pPr>
        <w:widowControl/>
        <w:spacing w:line="600" w:lineRule="exact"/>
        <w:ind w:firstLine="0"/>
        <w:jc w:val="center"/>
        <w:rPr>
          <w:rFonts w:ascii="黑体" w:eastAsia="黑体" w:hAnsi="Times New Roman" w:cs="黑体" w:hint="default"/>
          <w:sz w:val="32"/>
          <w:szCs w:val="32"/>
        </w:rPr>
      </w:pPr>
    </w:p>
    <w:p w:rsidR="00B87C8A" w:rsidRDefault="00B87C8A">
      <w:pPr>
        <w:widowControl/>
        <w:spacing w:line="600" w:lineRule="exact"/>
        <w:ind w:firstLine="0"/>
        <w:jc w:val="center"/>
        <w:rPr>
          <w:rFonts w:ascii="黑体" w:eastAsia="黑体" w:hAnsi="Times New Roman" w:cs="黑体" w:hint="default"/>
          <w:sz w:val="32"/>
          <w:szCs w:val="32"/>
        </w:rPr>
      </w:pPr>
    </w:p>
    <w:p w:rsidR="00B87C8A" w:rsidRDefault="00B87C8A">
      <w:pPr>
        <w:widowControl/>
        <w:spacing w:line="600" w:lineRule="exact"/>
        <w:ind w:firstLine="0"/>
        <w:jc w:val="center"/>
        <w:rPr>
          <w:rFonts w:ascii="黑体" w:eastAsia="黑体" w:hAnsi="Times New Roman" w:cs="黑体" w:hint="default"/>
          <w:sz w:val="32"/>
          <w:szCs w:val="32"/>
        </w:rPr>
      </w:pPr>
    </w:p>
    <w:p w:rsidR="00B87C8A" w:rsidRDefault="00B87C8A">
      <w:pPr>
        <w:autoSpaceDE w:val="0"/>
        <w:autoSpaceDN w:val="0"/>
        <w:adjustRightInd w:val="0"/>
        <w:ind w:firstLine="0"/>
        <w:jc w:val="center"/>
        <w:rPr>
          <w:rFonts w:ascii="黑体" w:eastAsia="黑体" w:hAnsi="Times New Roman" w:cs="黑体" w:hint="default"/>
          <w:sz w:val="96"/>
          <w:szCs w:val="96"/>
        </w:rPr>
      </w:pPr>
    </w:p>
    <w:p w:rsidR="00B87C8A" w:rsidRDefault="00B87C8A">
      <w:pPr>
        <w:autoSpaceDE w:val="0"/>
        <w:autoSpaceDN w:val="0"/>
        <w:adjustRightInd w:val="0"/>
        <w:ind w:firstLine="0"/>
        <w:jc w:val="center"/>
        <w:rPr>
          <w:rFonts w:ascii="黑体" w:eastAsia="黑体" w:hAnsi="Times New Roman" w:cs="黑体" w:hint="default"/>
          <w:sz w:val="96"/>
          <w:szCs w:val="96"/>
        </w:rPr>
      </w:pPr>
    </w:p>
    <w:p w:rsidR="00B87C8A" w:rsidRDefault="00B87C8A" w:rsidP="003F0F38">
      <w:pPr>
        <w:autoSpaceDE w:val="0"/>
        <w:autoSpaceDN w:val="0"/>
        <w:adjustRightInd w:val="0"/>
        <w:spacing w:afterLines="50"/>
        <w:ind w:firstLine="0"/>
        <w:jc w:val="center"/>
        <w:rPr>
          <w:rFonts w:ascii="黑体" w:eastAsia="黑体" w:hAnsi="Times New Roman" w:cs="黑体" w:hint="default"/>
          <w:sz w:val="48"/>
          <w:szCs w:val="48"/>
        </w:rPr>
      </w:pPr>
    </w:p>
    <w:p w:rsidR="00B87C8A" w:rsidRDefault="00B87C8A" w:rsidP="003F0F38">
      <w:pPr>
        <w:autoSpaceDE w:val="0"/>
        <w:autoSpaceDN w:val="0"/>
        <w:adjustRightInd w:val="0"/>
        <w:spacing w:afterLines="50"/>
        <w:ind w:firstLine="0"/>
        <w:jc w:val="center"/>
        <w:rPr>
          <w:rFonts w:ascii="黑体" w:eastAsia="黑体" w:hAnsi="Times New Roman" w:cs="黑体" w:hint="default"/>
          <w:sz w:val="84"/>
          <w:szCs w:val="84"/>
        </w:rPr>
      </w:pPr>
    </w:p>
    <w:p w:rsidR="00B87C8A" w:rsidRDefault="002D1C8A" w:rsidP="003F0F38">
      <w:pPr>
        <w:autoSpaceDE w:val="0"/>
        <w:autoSpaceDN w:val="0"/>
        <w:adjustRightInd w:val="0"/>
        <w:spacing w:afterLines="50"/>
        <w:ind w:firstLine="0"/>
        <w:jc w:val="center"/>
        <w:rPr>
          <w:rFonts w:ascii="黑体" w:eastAsia="黑体" w:hAnsi="Times New Roman" w:cs="黑体" w:hint="default"/>
          <w:sz w:val="84"/>
          <w:szCs w:val="84"/>
        </w:rPr>
      </w:pPr>
      <w:r>
        <w:rPr>
          <w:rFonts w:ascii="黑体" w:eastAsia="黑体" w:hAnsi="Times New Roman" w:cs="黑体"/>
          <w:sz w:val="84"/>
          <w:szCs w:val="84"/>
        </w:rPr>
        <w:t>第二部分</w:t>
      </w:r>
    </w:p>
    <w:p w:rsidR="00B87C8A" w:rsidRDefault="002D1C8A" w:rsidP="003F0F38">
      <w:pPr>
        <w:autoSpaceDE w:val="0"/>
        <w:autoSpaceDN w:val="0"/>
        <w:adjustRightInd w:val="0"/>
        <w:spacing w:beforeLines="100"/>
        <w:ind w:firstLine="0"/>
        <w:jc w:val="center"/>
        <w:rPr>
          <w:rFonts w:ascii="黑体" w:eastAsia="黑体" w:hAnsi="Times New Roman" w:cs="黑体" w:hint="default"/>
          <w:sz w:val="96"/>
          <w:szCs w:val="96"/>
          <w:lang w:val="zh-CN"/>
        </w:rPr>
        <w:sectPr w:rsidR="00B87C8A">
          <w:pgSz w:w="12240" w:h="15840"/>
          <w:pgMar w:top="1440" w:right="720" w:bottom="1440" w:left="1800" w:header="720" w:footer="720" w:gutter="0"/>
          <w:cols w:space="720"/>
        </w:sectPr>
      </w:pPr>
      <w:r>
        <w:rPr>
          <w:rFonts w:ascii="黑体" w:eastAsia="黑体" w:hAnsi="Times New Roman" w:cs="黑体"/>
          <w:sz w:val="84"/>
          <w:szCs w:val="84"/>
          <w:lang w:val="zh-CN"/>
        </w:rPr>
        <w:t>吉首大学2021年度部门决算表</w:t>
      </w:r>
    </w:p>
    <w:tbl>
      <w:tblPr>
        <w:tblW w:w="15224" w:type="dxa"/>
        <w:tblInd w:w="96" w:type="dxa"/>
        <w:tblLayout w:type="fixed"/>
        <w:tblLook w:val="04A0"/>
      </w:tblPr>
      <w:tblGrid>
        <w:gridCol w:w="3896"/>
        <w:gridCol w:w="1656"/>
        <w:gridCol w:w="1872"/>
        <w:gridCol w:w="3984"/>
        <w:gridCol w:w="1872"/>
        <w:gridCol w:w="1944"/>
      </w:tblGrid>
      <w:tr w:rsidR="00B87C8A">
        <w:trPr>
          <w:trHeight w:val="384"/>
        </w:trPr>
        <w:tc>
          <w:tcPr>
            <w:tcW w:w="15224" w:type="dxa"/>
            <w:gridSpan w:val="6"/>
            <w:tcBorders>
              <w:top w:val="nil"/>
              <w:left w:val="nil"/>
              <w:bottom w:val="nil"/>
              <w:right w:val="nil"/>
              <w:tl2br w:val="nil"/>
              <w:tr2bl w:val="nil"/>
            </w:tcBorders>
            <w:noWrap/>
            <w:vAlign w:val="bottom"/>
          </w:tcPr>
          <w:p w:rsidR="00B87C8A" w:rsidRDefault="002D1C8A">
            <w:pPr>
              <w:widowControl/>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一、收入支出决算总表</w:t>
            </w:r>
          </w:p>
        </w:tc>
      </w:tr>
      <w:tr w:rsidR="00B87C8A">
        <w:trPr>
          <w:trHeight w:val="264"/>
        </w:trPr>
        <w:tc>
          <w:tcPr>
            <w:tcW w:w="3896"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7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3984"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7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944" w:type="dxa"/>
            <w:tcBorders>
              <w:top w:val="nil"/>
              <w:left w:val="nil"/>
              <w:bottom w:val="nil"/>
              <w:right w:val="nil"/>
              <w:tl2br w:val="nil"/>
              <w:tr2bl w:val="nil"/>
            </w:tcBorders>
            <w:noWrap/>
            <w:vAlign w:val="bottom"/>
          </w:tcPr>
          <w:p w:rsidR="00B87C8A" w:rsidRDefault="002D1C8A">
            <w:pPr>
              <w:widowControl/>
              <w:jc w:val="right"/>
              <w:textAlignment w:val="bottom"/>
              <w:rPr>
                <w:rFonts w:ascii="宋体" w:hAnsi="宋体" w:cs="宋体" w:hint="default"/>
                <w:color w:val="000000"/>
                <w:sz w:val="20"/>
                <w:szCs w:val="20"/>
              </w:rPr>
            </w:pPr>
            <w:r>
              <w:rPr>
                <w:rFonts w:ascii="宋体" w:hAnsi="宋体" w:cs="宋体"/>
                <w:color w:val="000000"/>
                <w:kern w:val="0"/>
                <w:sz w:val="20"/>
                <w:szCs w:val="20"/>
              </w:rPr>
              <w:t>公开01表</w:t>
            </w:r>
          </w:p>
        </w:tc>
      </w:tr>
      <w:tr w:rsidR="00B87C8A">
        <w:trPr>
          <w:trHeight w:val="264"/>
        </w:trPr>
        <w:tc>
          <w:tcPr>
            <w:tcW w:w="3896" w:type="dxa"/>
            <w:tcBorders>
              <w:top w:val="nil"/>
              <w:left w:val="nil"/>
              <w:bottom w:val="nil"/>
              <w:right w:val="nil"/>
              <w:tl2br w:val="nil"/>
              <w:tr2bl w:val="nil"/>
            </w:tcBorders>
            <w:noWrap/>
            <w:vAlign w:val="bottom"/>
          </w:tcPr>
          <w:p w:rsidR="00B87C8A" w:rsidRPr="00B237E9" w:rsidRDefault="002D1C8A">
            <w:pPr>
              <w:widowControl/>
              <w:ind w:firstLine="0"/>
              <w:jc w:val="left"/>
              <w:textAlignment w:val="bottom"/>
              <w:rPr>
                <w:rFonts w:ascii="宋体" w:hAnsi="宋体" w:cs="宋体" w:hint="default"/>
                <w:color w:val="000000"/>
                <w:sz w:val="20"/>
                <w:szCs w:val="20"/>
              </w:rPr>
            </w:pPr>
            <w:r w:rsidRPr="00B237E9">
              <w:rPr>
                <w:rFonts w:ascii="宋体" w:hAnsi="宋体" w:cs="宋体"/>
                <w:color w:val="000000"/>
                <w:kern w:val="0"/>
                <w:sz w:val="20"/>
                <w:szCs w:val="20"/>
              </w:rPr>
              <w:t>部门：吉首大学</w:t>
            </w:r>
          </w:p>
        </w:tc>
        <w:tc>
          <w:tcPr>
            <w:tcW w:w="1656" w:type="dxa"/>
            <w:tcBorders>
              <w:top w:val="nil"/>
              <w:left w:val="nil"/>
              <w:bottom w:val="nil"/>
              <w:right w:val="nil"/>
              <w:tl2br w:val="nil"/>
              <w:tr2bl w:val="nil"/>
            </w:tcBorders>
            <w:noWrap/>
            <w:vAlign w:val="bottom"/>
          </w:tcPr>
          <w:p w:rsidR="00B87C8A" w:rsidRPr="00B237E9" w:rsidRDefault="00B87C8A">
            <w:pPr>
              <w:rPr>
                <w:rFonts w:ascii="Arial" w:hAnsi="Arial" w:cs="Arial" w:hint="default"/>
                <w:color w:val="000000"/>
                <w:sz w:val="20"/>
                <w:szCs w:val="20"/>
              </w:rPr>
            </w:pPr>
          </w:p>
        </w:tc>
        <w:tc>
          <w:tcPr>
            <w:tcW w:w="1872" w:type="dxa"/>
            <w:tcBorders>
              <w:top w:val="nil"/>
              <w:left w:val="nil"/>
              <w:bottom w:val="nil"/>
              <w:right w:val="nil"/>
              <w:tl2br w:val="nil"/>
              <w:tr2bl w:val="nil"/>
            </w:tcBorders>
            <w:noWrap/>
            <w:vAlign w:val="bottom"/>
          </w:tcPr>
          <w:p w:rsidR="00B87C8A" w:rsidRPr="00B237E9" w:rsidRDefault="00B87C8A">
            <w:pPr>
              <w:rPr>
                <w:rFonts w:ascii="Arial" w:hAnsi="Arial" w:cs="Arial" w:hint="default"/>
                <w:color w:val="000000"/>
                <w:sz w:val="20"/>
                <w:szCs w:val="20"/>
              </w:rPr>
            </w:pPr>
          </w:p>
        </w:tc>
        <w:tc>
          <w:tcPr>
            <w:tcW w:w="3984" w:type="dxa"/>
            <w:tcBorders>
              <w:top w:val="nil"/>
              <w:left w:val="nil"/>
              <w:bottom w:val="nil"/>
              <w:right w:val="nil"/>
              <w:tl2br w:val="nil"/>
              <w:tr2bl w:val="nil"/>
            </w:tcBorders>
            <w:noWrap/>
            <w:vAlign w:val="bottom"/>
          </w:tcPr>
          <w:p w:rsidR="00B87C8A" w:rsidRPr="00B237E9" w:rsidRDefault="00B87C8A">
            <w:pPr>
              <w:rPr>
                <w:rFonts w:ascii="Arial" w:hAnsi="Arial" w:cs="Arial" w:hint="default"/>
                <w:color w:val="000000"/>
                <w:sz w:val="20"/>
                <w:szCs w:val="20"/>
              </w:rPr>
            </w:pPr>
          </w:p>
        </w:tc>
        <w:tc>
          <w:tcPr>
            <w:tcW w:w="1872" w:type="dxa"/>
            <w:tcBorders>
              <w:top w:val="nil"/>
              <w:left w:val="nil"/>
              <w:bottom w:val="nil"/>
              <w:right w:val="nil"/>
              <w:tl2br w:val="nil"/>
              <w:tr2bl w:val="nil"/>
            </w:tcBorders>
            <w:noWrap/>
            <w:vAlign w:val="bottom"/>
          </w:tcPr>
          <w:p w:rsidR="00B87C8A" w:rsidRPr="00B237E9" w:rsidRDefault="00B87C8A">
            <w:pPr>
              <w:rPr>
                <w:rFonts w:ascii="Arial" w:hAnsi="Arial" w:cs="Arial" w:hint="default"/>
                <w:color w:val="000000"/>
                <w:sz w:val="20"/>
                <w:szCs w:val="20"/>
              </w:rPr>
            </w:pPr>
          </w:p>
        </w:tc>
        <w:tc>
          <w:tcPr>
            <w:tcW w:w="1944" w:type="dxa"/>
            <w:tcBorders>
              <w:top w:val="nil"/>
              <w:left w:val="nil"/>
              <w:bottom w:val="nil"/>
              <w:right w:val="nil"/>
              <w:tl2br w:val="nil"/>
              <w:tr2bl w:val="nil"/>
            </w:tcBorders>
            <w:noWrap/>
            <w:vAlign w:val="bottom"/>
          </w:tcPr>
          <w:p w:rsidR="00B87C8A" w:rsidRPr="00B237E9" w:rsidRDefault="002D1C8A">
            <w:pPr>
              <w:widowControl/>
              <w:ind w:firstLine="0"/>
              <w:jc w:val="right"/>
              <w:textAlignment w:val="bottom"/>
              <w:rPr>
                <w:rFonts w:ascii="宋体" w:hAnsi="宋体" w:cs="宋体" w:hint="default"/>
                <w:color w:val="000000"/>
                <w:sz w:val="20"/>
                <w:szCs w:val="20"/>
              </w:rPr>
            </w:pPr>
            <w:r w:rsidRPr="00B237E9">
              <w:rPr>
                <w:rFonts w:ascii="宋体" w:hAnsi="宋体" w:cs="宋体"/>
                <w:color w:val="000000"/>
                <w:kern w:val="0"/>
                <w:sz w:val="20"/>
                <w:szCs w:val="20"/>
              </w:rPr>
              <w:t>金额单位：万元</w:t>
            </w:r>
          </w:p>
        </w:tc>
      </w:tr>
      <w:tr w:rsidR="00B87C8A">
        <w:trPr>
          <w:trHeight w:val="308"/>
        </w:trPr>
        <w:tc>
          <w:tcPr>
            <w:tcW w:w="7424"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收入</w:t>
            </w:r>
          </w:p>
        </w:tc>
        <w:tc>
          <w:tcPr>
            <w:tcW w:w="7800"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支出</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项目</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行次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金额</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项目</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行次</w:t>
            </w:r>
          </w:p>
        </w:tc>
        <w:tc>
          <w:tcPr>
            <w:tcW w:w="194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金额</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栏次</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B87C8A">
            <w:pPr>
              <w:widowControl/>
              <w:ind w:firstLine="0"/>
              <w:jc w:val="center"/>
              <w:rPr>
                <w:rFonts w:ascii="宋体" w:hAnsi="宋体" w:cs="宋体" w:hint="default"/>
                <w:color w:val="000000"/>
                <w:sz w:val="22"/>
              </w:rPr>
            </w:pP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栏次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B87C8A">
            <w:pPr>
              <w:widowControl/>
              <w:ind w:firstLine="0"/>
              <w:jc w:val="center"/>
              <w:rPr>
                <w:rFonts w:ascii="宋体" w:hAnsi="宋体" w:cs="宋体" w:hint="default"/>
                <w:color w:val="000000"/>
                <w:sz w:val="22"/>
              </w:rPr>
            </w:pPr>
          </w:p>
        </w:tc>
        <w:tc>
          <w:tcPr>
            <w:tcW w:w="194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一、一般公共预算财政拨款收入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54,107.59</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一、一般公共服务支出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32</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56.89</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二、政府性基金预算财政拨款收入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二、外交支出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33</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三、国有资本经营预算财政拨款收入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三、国防支出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34</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四、上级补助收入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四、公共安全支出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35</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五、事业收入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13,125.34</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五、教育支出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36</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54,605.28</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六、经营收入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6</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六、科学技术支出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37</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480.20</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七、附属单位上缴收入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7</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七、文化旅游体育与传媒支出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38</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50.00</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textAlignment w:val="center"/>
              <w:rPr>
                <w:rFonts w:ascii="宋体" w:hAnsi="宋体" w:cs="宋体" w:hint="default"/>
                <w:color w:val="000000"/>
                <w:sz w:val="22"/>
              </w:rPr>
            </w:pPr>
            <w:r w:rsidRPr="00B237E9">
              <w:rPr>
                <w:rFonts w:ascii="宋体" w:hAnsi="宋体" w:cs="宋体"/>
                <w:color w:val="000000"/>
                <w:kern w:val="0"/>
                <w:sz w:val="22"/>
              </w:rPr>
              <w:t>八、其他收入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2,863.67</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八、社会保障和就业支出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39</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3,184.60</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九、卫生健康支出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40</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253.20</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十、节能环保支出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41</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十一、城乡社区支出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42</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十二、农林水支出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43</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十三、交通运输支出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44</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十四、资源勘探工业信息等支出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45</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十五、商业服务业等支出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46</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16</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十六、金融支出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47</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17</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十七、援助其他地区支出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48</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十八、自然资源海洋气象等支出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49</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19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十九、住房保障支出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50</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2D1C8A">
            <w:pPr>
              <w:widowControl/>
              <w:jc w:val="right"/>
              <w:textAlignment w:val="center"/>
              <w:rPr>
                <w:rFonts w:ascii="宋体" w:hAnsi="宋体" w:cs="宋体" w:hint="default"/>
                <w:color w:val="000000"/>
                <w:sz w:val="22"/>
              </w:rPr>
            </w:pPr>
            <w:r w:rsidRPr="00B237E9">
              <w:rPr>
                <w:rFonts w:ascii="宋体" w:hAnsi="宋体" w:cs="宋体"/>
                <w:color w:val="000000"/>
                <w:kern w:val="0"/>
                <w:sz w:val="22"/>
              </w:rPr>
              <w:t>2,333.16</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二十、粮油物资储备支出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51</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二十一、国有资本经营预算支出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52</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二十二、灾害防治及应急管理支出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53</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二十三、其他支出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54</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b/>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二十四、债务还本支出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55</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二十五、债务付息支出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56</w:t>
            </w:r>
          </w:p>
        </w:tc>
        <w:tc>
          <w:tcPr>
            <w:tcW w:w="1944" w:type="dxa"/>
            <w:tcBorders>
              <w:top w:val="nil"/>
              <w:left w:val="nil"/>
              <w:bottom w:val="single" w:sz="4" w:space="0" w:color="000000"/>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auto"/>
              <w:right w:val="single" w:sz="4" w:space="0" w:color="000000"/>
              <w:tl2br w:val="nil"/>
              <w:tr2bl w:val="nil"/>
            </w:tcBorders>
            <w:shd w:val="clear" w:color="FFFFFF" w:fill="C0C0C0"/>
            <w:noWrap/>
            <w:vAlign w:val="center"/>
          </w:tcPr>
          <w:p w:rsidR="00B87C8A" w:rsidRPr="00B237E9" w:rsidRDefault="00B87C8A">
            <w:pPr>
              <w:rPr>
                <w:rFonts w:ascii="宋体" w:hAnsi="宋体" w:cs="宋体" w:hint="default"/>
                <w:color w:val="000000"/>
                <w:sz w:val="22"/>
              </w:rPr>
            </w:pPr>
          </w:p>
        </w:tc>
        <w:tc>
          <w:tcPr>
            <w:tcW w:w="1656" w:type="dxa"/>
            <w:tcBorders>
              <w:top w:val="nil"/>
              <w:left w:val="nil"/>
              <w:bottom w:val="single" w:sz="4" w:space="0" w:color="auto"/>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26</w:t>
            </w:r>
          </w:p>
        </w:tc>
        <w:tc>
          <w:tcPr>
            <w:tcW w:w="1872" w:type="dxa"/>
            <w:tcBorders>
              <w:top w:val="nil"/>
              <w:left w:val="nil"/>
              <w:bottom w:val="single" w:sz="4" w:space="0" w:color="auto"/>
              <w:right w:val="single" w:sz="4" w:space="0" w:color="000000"/>
              <w:tl2br w:val="nil"/>
              <w:tr2bl w:val="nil"/>
            </w:tcBorders>
            <w:shd w:val="clear" w:color="auto" w:fill="auto"/>
            <w:noWrap/>
            <w:vAlign w:val="center"/>
          </w:tcPr>
          <w:p w:rsidR="00B87C8A" w:rsidRPr="00B237E9" w:rsidRDefault="00B87C8A">
            <w:pPr>
              <w:jc w:val="right"/>
              <w:rPr>
                <w:rFonts w:ascii="宋体" w:hAnsi="宋体" w:cs="宋体" w:hint="default"/>
                <w:color w:val="000000"/>
                <w:sz w:val="22"/>
              </w:rPr>
            </w:pPr>
          </w:p>
        </w:tc>
        <w:tc>
          <w:tcPr>
            <w:tcW w:w="3984" w:type="dxa"/>
            <w:tcBorders>
              <w:top w:val="nil"/>
              <w:left w:val="nil"/>
              <w:bottom w:val="single" w:sz="4" w:space="0" w:color="auto"/>
              <w:right w:val="single" w:sz="4" w:space="0" w:color="000000"/>
              <w:tl2br w:val="nil"/>
              <w:tr2bl w:val="nil"/>
            </w:tcBorders>
            <w:shd w:val="clear" w:color="FFFFFF" w:fill="C0C0C0"/>
            <w:noWrap/>
            <w:vAlign w:val="center"/>
          </w:tcPr>
          <w:p w:rsidR="00B87C8A" w:rsidRPr="00B237E9" w:rsidRDefault="002D1C8A">
            <w:pPr>
              <w:widowControl/>
              <w:ind w:firstLine="0"/>
              <w:jc w:val="left"/>
              <w:textAlignment w:val="center"/>
              <w:rPr>
                <w:rFonts w:ascii="宋体" w:hAnsi="宋体" w:cs="宋体" w:hint="default"/>
                <w:color w:val="000000"/>
                <w:sz w:val="22"/>
              </w:rPr>
            </w:pPr>
            <w:r w:rsidRPr="00B237E9">
              <w:rPr>
                <w:rFonts w:ascii="宋体" w:hAnsi="宋体" w:cs="宋体"/>
                <w:color w:val="000000"/>
                <w:kern w:val="0"/>
                <w:sz w:val="22"/>
              </w:rPr>
              <w:t>二十六、抗疫特别国债安排的支出</w:t>
            </w:r>
          </w:p>
        </w:tc>
        <w:tc>
          <w:tcPr>
            <w:tcW w:w="1872" w:type="dxa"/>
            <w:tcBorders>
              <w:top w:val="nil"/>
              <w:left w:val="nil"/>
              <w:bottom w:val="single" w:sz="4" w:space="0" w:color="auto"/>
              <w:right w:val="single" w:sz="4" w:space="0" w:color="000000"/>
              <w:tl2br w:val="nil"/>
              <w:tr2bl w:val="nil"/>
            </w:tcBorders>
            <w:shd w:val="clear" w:color="FFFFFF" w:fill="C0C0C0"/>
            <w:noWrap/>
            <w:vAlign w:val="center"/>
          </w:tcPr>
          <w:p w:rsidR="00B87C8A" w:rsidRPr="00B237E9" w:rsidRDefault="002D1C8A">
            <w:pPr>
              <w:widowControl/>
              <w:ind w:firstLine="0"/>
              <w:jc w:val="center"/>
              <w:textAlignment w:val="center"/>
              <w:rPr>
                <w:rFonts w:ascii="宋体" w:hAnsi="宋体" w:cs="宋体" w:hint="default"/>
                <w:color w:val="000000"/>
                <w:sz w:val="22"/>
              </w:rPr>
            </w:pPr>
            <w:r w:rsidRPr="00B237E9">
              <w:rPr>
                <w:rFonts w:ascii="宋体" w:hAnsi="宋体" w:cs="宋体"/>
                <w:color w:val="000000"/>
                <w:kern w:val="0"/>
                <w:sz w:val="22"/>
              </w:rPr>
              <w:t>57</w:t>
            </w:r>
          </w:p>
        </w:tc>
        <w:tc>
          <w:tcPr>
            <w:tcW w:w="1944" w:type="dxa"/>
            <w:tcBorders>
              <w:top w:val="nil"/>
              <w:left w:val="nil"/>
              <w:bottom w:val="single" w:sz="4" w:space="0" w:color="auto"/>
              <w:right w:val="single" w:sz="4" w:space="0" w:color="000000"/>
              <w:tl2br w:val="nil"/>
              <w:tr2bl w:val="nil"/>
            </w:tcBorders>
            <w:noWrap/>
            <w:vAlign w:val="center"/>
          </w:tcPr>
          <w:p w:rsidR="00B87C8A" w:rsidRPr="00B237E9" w:rsidRDefault="00B87C8A">
            <w:pPr>
              <w:jc w:val="right"/>
              <w:rPr>
                <w:rFonts w:ascii="宋体" w:hAnsi="宋体" w:cs="宋体" w:hint="default"/>
                <w:color w:val="000000"/>
                <w:sz w:val="22"/>
              </w:rPr>
            </w:pPr>
          </w:p>
        </w:tc>
      </w:tr>
      <w:tr w:rsidR="00B87C8A">
        <w:trPr>
          <w:trHeight w:val="308"/>
        </w:trPr>
        <w:tc>
          <w:tcPr>
            <w:tcW w:w="3896" w:type="dxa"/>
            <w:tcBorders>
              <w:top w:val="single" w:sz="4" w:space="0" w:color="auto"/>
              <w:left w:val="single" w:sz="4" w:space="0" w:color="auto"/>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b/>
                <w:color w:val="000000"/>
                <w:sz w:val="22"/>
              </w:rPr>
            </w:pPr>
            <w:r>
              <w:rPr>
                <w:rFonts w:ascii="宋体" w:hAnsi="宋体" w:cs="宋体"/>
                <w:b/>
                <w:color w:val="000000"/>
                <w:kern w:val="0"/>
                <w:sz w:val="22"/>
              </w:rPr>
              <w:lastRenderedPageBreak/>
              <w:t>本年收入合计</w:t>
            </w:r>
          </w:p>
        </w:tc>
        <w:tc>
          <w:tcPr>
            <w:tcW w:w="1656"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27</w:t>
            </w:r>
          </w:p>
        </w:tc>
        <w:tc>
          <w:tcPr>
            <w:tcW w:w="1872" w:type="dxa"/>
            <w:tcBorders>
              <w:top w:val="single" w:sz="4" w:space="0" w:color="auto"/>
              <w:left w:val="nil"/>
              <w:bottom w:val="single" w:sz="4" w:space="0" w:color="000000"/>
              <w:right w:val="single" w:sz="4" w:space="0" w:color="000000"/>
              <w:tl2br w:val="nil"/>
              <w:tr2bl w:val="nil"/>
            </w:tcBorders>
            <w:shd w:val="clear" w:color="auto" w:fill="auto"/>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70,096.60</w:t>
            </w:r>
          </w:p>
        </w:tc>
        <w:tc>
          <w:tcPr>
            <w:tcW w:w="3984"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b/>
                <w:color w:val="000000"/>
                <w:sz w:val="22"/>
              </w:rPr>
            </w:pPr>
            <w:r>
              <w:rPr>
                <w:rFonts w:ascii="宋体" w:hAnsi="宋体" w:cs="宋体"/>
                <w:b/>
                <w:color w:val="000000"/>
                <w:kern w:val="0"/>
                <w:sz w:val="22"/>
              </w:rPr>
              <w:t>本年支出合计</w:t>
            </w:r>
          </w:p>
        </w:tc>
        <w:tc>
          <w:tcPr>
            <w:tcW w:w="1872"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58</w:t>
            </w:r>
          </w:p>
        </w:tc>
        <w:tc>
          <w:tcPr>
            <w:tcW w:w="1944"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60,963.33</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使用非财政拨款结余</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7,759.40</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结余分配</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59</w:t>
            </w:r>
          </w:p>
        </w:tc>
        <w:tc>
          <w:tcPr>
            <w:tcW w:w="1944" w:type="dxa"/>
            <w:tcBorders>
              <w:top w:val="nil"/>
              <w:left w:val="nil"/>
              <w:bottom w:val="single" w:sz="4" w:space="0" w:color="000000"/>
              <w:right w:val="single" w:sz="4" w:space="0" w:color="000000"/>
              <w:tl2br w:val="nil"/>
              <w:tr2bl w:val="nil"/>
            </w:tcBorders>
            <w:noWrap/>
            <w:vAlign w:val="center"/>
          </w:tcPr>
          <w:p w:rsidR="00B87C8A" w:rsidRDefault="00B87C8A">
            <w:pPr>
              <w:jc w:val="right"/>
              <w:rPr>
                <w:rFonts w:ascii="宋体" w:hAnsi="宋体" w:cs="宋体" w:hint="default"/>
                <w:color w:val="000000"/>
                <w:sz w:val="22"/>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年初结转和结余</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920.81</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年末结转和结余</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60</w:t>
            </w:r>
          </w:p>
        </w:tc>
        <w:tc>
          <w:tcPr>
            <w:tcW w:w="1944" w:type="dxa"/>
            <w:tcBorders>
              <w:top w:val="nil"/>
              <w:left w:val="nil"/>
              <w:bottom w:val="single" w:sz="4" w:space="0" w:color="000000"/>
              <w:right w:val="single" w:sz="4" w:space="0" w:color="000000"/>
              <w:tl2br w:val="nil"/>
              <w:tr2bl w:val="nil"/>
            </w:tcBorders>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17,813.48</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rPr>
                <w:rFonts w:ascii="宋体" w:hAnsi="宋体" w:cs="宋体" w:hint="default"/>
                <w:color w:val="000000"/>
                <w:sz w:val="20"/>
                <w:szCs w:val="20"/>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jc w:val="right"/>
              <w:rPr>
                <w:rFonts w:ascii="宋体" w:hAnsi="宋体" w:cs="宋体" w:hint="default"/>
                <w:color w:val="000000"/>
                <w:sz w:val="20"/>
                <w:szCs w:val="20"/>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0"/>
                <w:szCs w:val="20"/>
              </w:rPr>
            </w:pP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61</w:t>
            </w:r>
          </w:p>
        </w:tc>
        <w:tc>
          <w:tcPr>
            <w:tcW w:w="1944" w:type="dxa"/>
            <w:tcBorders>
              <w:top w:val="nil"/>
              <w:left w:val="nil"/>
              <w:bottom w:val="single" w:sz="4" w:space="0" w:color="000000"/>
              <w:right w:val="single" w:sz="4" w:space="0" w:color="000000"/>
              <w:tl2br w:val="nil"/>
              <w:tr2bl w:val="nil"/>
            </w:tcBorders>
            <w:noWrap/>
            <w:vAlign w:val="center"/>
          </w:tcPr>
          <w:p w:rsidR="00B87C8A" w:rsidRDefault="00B87C8A">
            <w:pPr>
              <w:jc w:val="left"/>
              <w:rPr>
                <w:rFonts w:ascii="宋体" w:hAnsi="宋体" w:cs="宋体" w:hint="default"/>
                <w:color w:val="000000"/>
                <w:sz w:val="20"/>
                <w:szCs w:val="20"/>
              </w:rPr>
            </w:pP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b/>
                <w:color w:val="000000"/>
                <w:sz w:val="22"/>
              </w:rPr>
            </w:pPr>
            <w:r>
              <w:rPr>
                <w:rFonts w:ascii="宋体" w:hAnsi="宋体" w:cs="宋体"/>
                <w:b/>
                <w:color w:val="000000"/>
                <w:kern w:val="0"/>
                <w:sz w:val="22"/>
              </w:rPr>
              <w:t>总计</w:t>
            </w:r>
          </w:p>
        </w:tc>
        <w:tc>
          <w:tcPr>
            <w:tcW w:w="1656" w:type="dxa"/>
            <w:tcBorders>
              <w:top w:val="nil"/>
              <w:left w:val="nil"/>
              <w:bottom w:val="single" w:sz="8"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78,776.81</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b/>
                <w:color w:val="000000"/>
                <w:sz w:val="22"/>
              </w:rPr>
            </w:pPr>
            <w:r>
              <w:rPr>
                <w:rFonts w:ascii="宋体" w:hAnsi="宋体" w:cs="宋体"/>
                <w:b/>
                <w:color w:val="000000"/>
                <w:kern w:val="0"/>
                <w:sz w:val="22"/>
              </w:rPr>
              <w:t>总计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62</w:t>
            </w:r>
          </w:p>
        </w:tc>
        <w:tc>
          <w:tcPr>
            <w:tcW w:w="1944" w:type="dxa"/>
            <w:tcBorders>
              <w:top w:val="nil"/>
              <w:left w:val="nil"/>
              <w:bottom w:val="single" w:sz="4" w:space="0" w:color="000000"/>
              <w:right w:val="single" w:sz="4" w:space="0" w:color="000000"/>
              <w:tl2br w:val="nil"/>
              <w:tr2bl w:val="nil"/>
            </w:tcBorders>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78,776.81</w:t>
            </w:r>
          </w:p>
        </w:tc>
      </w:tr>
      <w:tr w:rsidR="00B87C8A">
        <w:trPr>
          <w:trHeight w:val="308"/>
        </w:trPr>
        <w:tc>
          <w:tcPr>
            <w:tcW w:w="15224" w:type="dxa"/>
            <w:gridSpan w:val="6"/>
            <w:tcBorders>
              <w:top w:val="nil"/>
              <w:left w:val="nil"/>
              <w:bottom w:val="nil"/>
              <w:right w:val="nil"/>
              <w:tl2br w:val="nil"/>
              <w:tr2bl w:val="nil"/>
            </w:tcBorders>
            <w:noWrap/>
            <w:vAlign w:val="center"/>
          </w:tcPr>
          <w:p w:rsidR="00B87C8A" w:rsidRDefault="002D1C8A">
            <w:pPr>
              <w:widowControl/>
              <w:jc w:val="left"/>
              <w:textAlignment w:val="center"/>
              <w:rPr>
                <w:rFonts w:ascii="宋体" w:hAnsi="宋体" w:cs="宋体" w:hint="default"/>
                <w:color w:val="000000"/>
                <w:sz w:val="22"/>
              </w:rPr>
            </w:pPr>
            <w:r>
              <w:rPr>
                <w:rFonts w:ascii="宋体" w:hAnsi="宋体" w:cs="宋体"/>
                <w:color w:val="000000"/>
                <w:kern w:val="0"/>
                <w:sz w:val="22"/>
              </w:rPr>
              <w:t>注：本表反映部门本年度的总收支和年末结转结余情况。本套报表金额单位转换时可能存在尾数误差。</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02" w:type="dxa"/>
        <w:tblInd w:w="96" w:type="dxa"/>
        <w:tblLayout w:type="fixed"/>
        <w:tblLook w:val="04A0"/>
      </w:tblPr>
      <w:tblGrid>
        <w:gridCol w:w="1468"/>
        <w:gridCol w:w="2928"/>
        <w:gridCol w:w="1608"/>
        <w:gridCol w:w="1464"/>
        <w:gridCol w:w="1560"/>
        <w:gridCol w:w="1440"/>
        <w:gridCol w:w="1320"/>
        <w:gridCol w:w="1656"/>
        <w:gridCol w:w="1698"/>
        <w:gridCol w:w="60"/>
      </w:tblGrid>
      <w:tr w:rsidR="00B87C8A">
        <w:trPr>
          <w:gridAfter w:val="1"/>
          <w:wAfter w:w="60" w:type="dxa"/>
          <w:trHeight w:val="384"/>
        </w:trPr>
        <w:tc>
          <w:tcPr>
            <w:tcW w:w="15142" w:type="dxa"/>
            <w:gridSpan w:val="9"/>
            <w:tcBorders>
              <w:top w:val="nil"/>
              <w:left w:val="nil"/>
              <w:bottom w:val="nil"/>
              <w:right w:val="nil"/>
              <w:tl2br w:val="nil"/>
              <w:tr2bl w:val="nil"/>
            </w:tcBorders>
            <w:noWrap/>
            <w:vAlign w:val="bottom"/>
          </w:tcPr>
          <w:p w:rsidR="00B87C8A" w:rsidRDefault="002D1C8A">
            <w:pPr>
              <w:widowControl/>
              <w:tabs>
                <w:tab w:val="left" w:pos="1470"/>
              </w:tabs>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二、收入决算表</w:t>
            </w:r>
          </w:p>
        </w:tc>
      </w:tr>
      <w:tr w:rsidR="00B87C8A">
        <w:trPr>
          <w:trHeight w:val="288"/>
        </w:trPr>
        <w:tc>
          <w:tcPr>
            <w:tcW w:w="1468"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2928"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608"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464"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6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4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758" w:type="dxa"/>
            <w:gridSpan w:val="2"/>
            <w:tcBorders>
              <w:top w:val="nil"/>
              <w:left w:val="nil"/>
              <w:bottom w:val="nil"/>
              <w:right w:val="nil"/>
              <w:tl2br w:val="nil"/>
              <w:tr2bl w:val="nil"/>
            </w:tcBorders>
            <w:noWrap/>
            <w:vAlign w:val="bottom"/>
          </w:tcPr>
          <w:p w:rsidR="00B87C8A" w:rsidRDefault="002D1C8A">
            <w:pPr>
              <w:widowControl/>
              <w:jc w:val="center"/>
              <w:textAlignment w:val="bottom"/>
              <w:rPr>
                <w:rFonts w:ascii="宋体" w:hAnsi="宋体" w:cs="宋体" w:hint="default"/>
                <w:color w:val="000000"/>
                <w:sz w:val="20"/>
                <w:szCs w:val="20"/>
              </w:rPr>
            </w:pPr>
            <w:r>
              <w:rPr>
                <w:rFonts w:ascii="宋体" w:hAnsi="宋体" w:cs="宋体"/>
                <w:color w:val="000000"/>
                <w:kern w:val="0"/>
                <w:sz w:val="20"/>
                <w:szCs w:val="20"/>
              </w:rPr>
              <w:t>公开02表</w:t>
            </w:r>
          </w:p>
        </w:tc>
      </w:tr>
      <w:tr w:rsidR="00B87C8A">
        <w:trPr>
          <w:trHeight w:val="264"/>
        </w:trPr>
        <w:tc>
          <w:tcPr>
            <w:tcW w:w="4396" w:type="dxa"/>
            <w:gridSpan w:val="2"/>
            <w:tcBorders>
              <w:top w:val="nil"/>
              <w:left w:val="nil"/>
              <w:bottom w:val="nil"/>
              <w:right w:val="nil"/>
              <w:tl2br w:val="nil"/>
              <w:tr2bl w:val="nil"/>
            </w:tcBorders>
            <w:noWrap/>
            <w:vAlign w:val="bottom"/>
          </w:tcPr>
          <w:p w:rsidR="00B87C8A" w:rsidRDefault="002D1C8A">
            <w:pPr>
              <w:rPr>
                <w:rFonts w:ascii="Arial" w:hAnsi="Arial" w:cs="Arial" w:hint="default"/>
                <w:color w:val="000000"/>
                <w:sz w:val="20"/>
                <w:szCs w:val="20"/>
              </w:rPr>
            </w:pPr>
            <w:r>
              <w:rPr>
                <w:rFonts w:ascii="宋体" w:hAnsi="宋体" w:cs="宋体"/>
                <w:color w:val="000000"/>
                <w:kern w:val="0"/>
                <w:sz w:val="20"/>
                <w:szCs w:val="20"/>
              </w:rPr>
              <w:t>部门：吉首大学</w:t>
            </w:r>
          </w:p>
        </w:tc>
        <w:tc>
          <w:tcPr>
            <w:tcW w:w="1608"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464"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6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4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758" w:type="dxa"/>
            <w:gridSpan w:val="2"/>
            <w:tcBorders>
              <w:top w:val="nil"/>
              <w:left w:val="nil"/>
              <w:bottom w:val="nil"/>
              <w:right w:val="nil"/>
              <w:tl2br w:val="nil"/>
              <w:tr2bl w:val="nil"/>
            </w:tcBorders>
            <w:noWrap/>
            <w:vAlign w:val="bottom"/>
          </w:tcPr>
          <w:p w:rsidR="00B87C8A" w:rsidRDefault="002D1C8A">
            <w:pPr>
              <w:widowControl/>
              <w:ind w:firstLine="0"/>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308"/>
        </w:trPr>
        <w:tc>
          <w:tcPr>
            <w:tcW w:w="4396" w:type="dxa"/>
            <w:gridSpan w:val="2"/>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项目</w:t>
            </w:r>
          </w:p>
        </w:tc>
        <w:tc>
          <w:tcPr>
            <w:tcW w:w="1608"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本年收入合计</w:t>
            </w:r>
          </w:p>
        </w:tc>
        <w:tc>
          <w:tcPr>
            <w:tcW w:w="1464"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财政拨款收入</w:t>
            </w:r>
          </w:p>
        </w:tc>
        <w:tc>
          <w:tcPr>
            <w:tcW w:w="156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上级补助收入</w:t>
            </w:r>
          </w:p>
        </w:tc>
        <w:tc>
          <w:tcPr>
            <w:tcW w:w="144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事业收入</w:t>
            </w:r>
          </w:p>
        </w:tc>
        <w:tc>
          <w:tcPr>
            <w:tcW w:w="132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经营收入</w:t>
            </w:r>
          </w:p>
        </w:tc>
        <w:tc>
          <w:tcPr>
            <w:tcW w:w="1656"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附属单位上缴收入</w:t>
            </w:r>
          </w:p>
        </w:tc>
        <w:tc>
          <w:tcPr>
            <w:tcW w:w="1758"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jc w:val="center"/>
              <w:textAlignment w:val="center"/>
              <w:rPr>
                <w:rFonts w:ascii="宋体" w:hAnsi="宋体" w:cs="宋体" w:hint="default"/>
                <w:color w:val="000000"/>
                <w:sz w:val="22"/>
              </w:rPr>
            </w:pPr>
            <w:r>
              <w:rPr>
                <w:rFonts w:ascii="宋体" w:hAnsi="宋体" w:cs="宋体"/>
                <w:color w:val="000000"/>
                <w:kern w:val="0"/>
                <w:sz w:val="22"/>
              </w:rPr>
              <w:t>其他收入</w:t>
            </w:r>
          </w:p>
        </w:tc>
      </w:tr>
      <w:tr w:rsidR="00B87C8A">
        <w:trPr>
          <w:trHeight w:val="308"/>
        </w:trPr>
        <w:tc>
          <w:tcPr>
            <w:tcW w:w="1468"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功能分类科目编码</w:t>
            </w:r>
          </w:p>
        </w:tc>
        <w:tc>
          <w:tcPr>
            <w:tcW w:w="292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科目名称</w:t>
            </w:r>
          </w:p>
        </w:tc>
        <w:tc>
          <w:tcPr>
            <w:tcW w:w="16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464"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56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4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3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65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75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r>
      <w:tr w:rsidR="00B87C8A">
        <w:trPr>
          <w:trHeight w:val="308"/>
        </w:trPr>
        <w:tc>
          <w:tcPr>
            <w:tcW w:w="146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29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6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464"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56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4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3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65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75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r>
      <w:tr w:rsidR="00B87C8A">
        <w:trPr>
          <w:trHeight w:val="308"/>
        </w:trPr>
        <w:tc>
          <w:tcPr>
            <w:tcW w:w="146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29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6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464"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56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4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3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65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c>
          <w:tcPr>
            <w:tcW w:w="175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rFonts w:ascii="宋体" w:hAnsi="宋体" w:cs="宋体" w:hint="default"/>
                <w:color w:val="000000"/>
                <w:sz w:val="22"/>
              </w:rPr>
            </w:pPr>
          </w:p>
        </w:tc>
      </w:tr>
      <w:tr w:rsidR="00B87C8A">
        <w:trPr>
          <w:trHeight w:val="308"/>
        </w:trPr>
        <w:tc>
          <w:tcPr>
            <w:tcW w:w="4396" w:type="dxa"/>
            <w:gridSpan w:val="2"/>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jc w:val="center"/>
              <w:textAlignment w:val="center"/>
              <w:rPr>
                <w:rFonts w:ascii="宋体" w:hAnsi="宋体" w:cs="宋体" w:hint="default"/>
                <w:color w:val="000000"/>
                <w:sz w:val="22"/>
              </w:rPr>
            </w:pPr>
            <w:r>
              <w:rPr>
                <w:rFonts w:ascii="宋体" w:hAnsi="宋体" w:cs="宋体"/>
                <w:color w:val="000000"/>
                <w:kern w:val="0"/>
                <w:sz w:val="22"/>
              </w:rPr>
              <w:t>栏次</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w:t>
            </w:r>
          </w:p>
        </w:tc>
        <w:tc>
          <w:tcPr>
            <w:tcW w:w="146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w:t>
            </w:r>
          </w:p>
        </w:tc>
        <w:tc>
          <w:tcPr>
            <w:tcW w:w="15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c>
          <w:tcPr>
            <w:tcW w:w="144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w:t>
            </w: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w:t>
            </w:r>
          </w:p>
        </w:tc>
        <w:tc>
          <w:tcPr>
            <w:tcW w:w="1758"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7</w:t>
            </w:r>
          </w:p>
        </w:tc>
      </w:tr>
      <w:tr w:rsidR="00B87C8A">
        <w:trPr>
          <w:trHeight w:val="308"/>
        </w:trPr>
        <w:tc>
          <w:tcPr>
            <w:tcW w:w="4396" w:type="dxa"/>
            <w:gridSpan w:val="2"/>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jc w:val="center"/>
              <w:textAlignment w:val="center"/>
              <w:rPr>
                <w:rFonts w:ascii="宋体" w:hAnsi="宋体" w:cs="宋体" w:hint="default"/>
                <w:color w:val="000000"/>
                <w:sz w:val="22"/>
              </w:rPr>
            </w:pPr>
            <w:r>
              <w:rPr>
                <w:rFonts w:ascii="宋体" w:hAnsi="宋体" w:cs="宋体"/>
                <w:color w:val="000000"/>
                <w:kern w:val="0"/>
                <w:sz w:val="22"/>
              </w:rPr>
              <w:t>合计</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70,096.60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54,107.59</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13,125.34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2,863.67</w:t>
            </w: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一般公共服务支出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51.50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51.50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20123</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民族事务</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2012304</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Chars="100" w:firstLine="220"/>
              <w:jc w:val="left"/>
              <w:textAlignment w:val="center"/>
              <w:rPr>
                <w:rFonts w:ascii="宋体" w:hAnsi="宋体" w:cs="宋体" w:hint="default"/>
                <w:color w:val="000000"/>
                <w:sz w:val="22"/>
              </w:rPr>
            </w:pPr>
            <w:r>
              <w:rPr>
                <w:rFonts w:ascii="宋体" w:hAnsi="宋体" w:cs="宋体"/>
                <w:color w:val="000000"/>
                <w:kern w:val="0"/>
                <w:sz w:val="22"/>
              </w:rPr>
              <w:t xml:space="preserve"> 民族工作专项</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群众团体事务</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2012902</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一般行政管理事务</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教育支出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63,748.34</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48,690.97</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12,525.34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2,532.03</w:t>
            </w: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20502</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普通教育</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63,748.34</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48,690.97</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12,525.34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2,532.03</w:t>
            </w: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2050205</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高等教育</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63,748.34</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48,690.97</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textAlignment w:val="center"/>
              <w:rPr>
                <w:rFonts w:ascii="宋体" w:hAnsi="宋体" w:cs="宋体" w:hint="default"/>
                <w:color w:val="000000"/>
                <w:sz w:val="22"/>
              </w:rPr>
            </w:pPr>
            <w:r>
              <w:rPr>
                <w:rFonts w:ascii="宋体" w:hAnsi="宋体" w:cs="宋体"/>
                <w:color w:val="000000"/>
                <w:kern w:val="0"/>
                <w:sz w:val="22"/>
              </w:rPr>
              <w:t>12,525.34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2,532.03</w:t>
            </w: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科学技术支出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350.20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350.20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20602</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基础研究</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2060203</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自然科学基金</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20603</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应用研究</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2060303</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高技术研究</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20606</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社会科学</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2060699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其他社会科学支出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科学技术普及</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2060799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其他科学技术普及支出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20699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其他科学技术支出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2069901</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科技奖励</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文化旅游体育与传媒支出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20701</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文化和旅游</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2070199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其他文化和旅游支出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auto"/>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w:t>
            </w:r>
          </w:p>
        </w:tc>
        <w:tc>
          <w:tcPr>
            <w:tcW w:w="2928" w:type="dxa"/>
            <w:tcBorders>
              <w:top w:val="nil"/>
              <w:left w:val="nil"/>
              <w:bottom w:val="single" w:sz="4" w:space="0" w:color="auto"/>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社会保障和就业支出</w:t>
            </w:r>
          </w:p>
        </w:tc>
        <w:tc>
          <w:tcPr>
            <w:tcW w:w="1608" w:type="dxa"/>
            <w:tcBorders>
              <w:top w:val="nil"/>
              <w:left w:val="nil"/>
              <w:bottom w:val="single" w:sz="4" w:space="0" w:color="auto"/>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3,184.60</w:t>
            </w:r>
          </w:p>
        </w:tc>
        <w:tc>
          <w:tcPr>
            <w:tcW w:w="1464" w:type="dxa"/>
            <w:tcBorders>
              <w:top w:val="nil"/>
              <w:left w:val="nil"/>
              <w:bottom w:val="single" w:sz="4" w:space="0" w:color="auto"/>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3,184.60</w:t>
            </w:r>
          </w:p>
        </w:tc>
        <w:tc>
          <w:tcPr>
            <w:tcW w:w="156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single" w:sz="4" w:space="0" w:color="auto"/>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lastRenderedPageBreak/>
              <w:t>20805</w:t>
            </w:r>
          </w:p>
        </w:tc>
        <w:tc>
          <w:tcPr>
            <w:tcW w:w="2928"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行政事业单位养老支出</w:t>
            </w:r>
          </w:p>
        </w:tc>
        <w:tc>
          <w:tcPr>
            <w:tcW w:w="1608"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464"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56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2080505</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机关事业单位基本养老保险缴费支出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20807</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就业补助</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2080799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其他就业补助支出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卫生健康支出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378.80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378.80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公共卫生</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376.80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376.80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2100409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重大公共卫生服务</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2100499</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其他公共卫生支出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188.80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188.80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21006</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中医药</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2100601</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中医（民族医）药专项</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住房保障支出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600.00</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331.64</w:t>
            </w: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22102</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住房改革支出</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600.00</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331.64</w:t>
            </w:r>
          </w:p>
        </w:tc>
      </w:tr>
      <w:tr w:rsidR="00B87C8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2210201</w:t>
            </w:r>
          </w:p>
        </w:tc>
        <w:tc>
          <w:tcPr>
            <w:tcW w:w="292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住房公积金</w:t>
            </w:r>
          </w:p>
        </w:tc>
        <w:tc>
          <w:tcPr>
            <w:tcW w:w="1608"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464"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15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600.00</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331.64</w:t>
            </w:r>
          </w:p>
        </w:tc>
      </w:tr>
      <w:tr w:rsidR="00B87C8A">
        <w:trPr>
          <w:gridAfter w:val="1"/>
          <w:wAfter w:w="60" w:type="dxa"/>
          <w:trHeight w:val="308"/>
        </w:trPr>
        <w:tc>
          <w:tcPr>
            <w:tcW w:w="15142" w:type="dxa"/>
            <w:gridSpan w:val="9"/>
            <w:tcBorders>
              <w:top w:val="nil"/>
              <w:left w:val="nil"/>
              <w:bottom w:val="nil"/>
              <w:right w:val="nil"/>
              <w:tl2br w:val="nil"/>
              <w:tr2bl w:val="nil"/>
            </w:tcBorders>
            <w:noWrap/>
            <w:vAlign w:val="center"/>
          </w:tcPr>
          <w:p w:rsidR="00B87C8A" w:rsidRDefault="002D1C8A">
            <w:pPr>
              <w:widowControl/>
              <w:jc w:val="left"/>
              <w:textAlignment w:val="center"/>
              <w:rPr>
                <w:rFonts w:ascii="宋体" w:hAnsi="宋体" w:cs="宋体" w:hint="default"/>
                <w:color w:val="000000"/>
                <w:sz w:val="22"/>
              </w:rPr>
            </w:pPr>
            <w:r>
              <w:rPr>
                <w:rFonts w:ascii="宋体" w:hAnsi="宋体" w:cs="宋体"/>
                <w:color w:val="000000"/>
                <w:kern w:val="0"/>
                <w:sz w:val="22"/>
              </w:rPr>
              <w:t>注：本表反映部门本年度取得的各项收入情况。</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22" w:type="dxa"/>
        <w:tblInd w:w="96" w:type="dxa"/>
        <w:tblLayout w:type="fixed"/>
        <w:tblLook w:val="04A0"/>
      </w:tblPr>
      <w:tblGrid>
        <w:gridCol w:w="1613"/>
        <w:gridCol w:w="236"/>
        <w:gridCol w:w="236"/>
        <w:gridCol w:w="3335"/>
        <w:gridCol w:w="1737"/>
        <w:gridCol w:w="1817"/>
        <w:gridCol w:w="1537"/>
        <w:gridCol w:w="1537"/>
        <w:gridCol w:w="1298"/>
        <w:gridCol w:w="1876"/>
      </w:tblGrid>
      <w:tr w:rsidR="00B87C8A">
        <w:trPr>
          <w:trHeight w:val="384"/>
        </w:trPr>
        <w:tc>
          <w:tcPr>
            <w:tcW w:w="15222" w:type="dxa"/>
            <w:gridSpan w:val="10"/>
            <w:tcBorders>
              <w:top w:val="nil"/>
              <w:left w:val="nil"/>
              <w:bottom w:val="nil"/>
              <w:right w:val="nil"/>
              <w:tl2br w:val="nil"/>
              <w:tr2bl w:val="nil"/>
            </w:tcBorders>
            <w:noWrap/>
            <w:vAlign w:val="bottom"/>
          </w:tcPr>
          <w:p w:rsidR="00B87C8A" w:rsidRDefault="002D1C8A">
            <w:pPr>
              <w:widowControl/>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三、支出决算表</w:t>
            </w:r>
          </w:p>
        </w:tc>
      </w:tr>
      <w:tr w:rsidR="00B87C8A">
        <w:trPr>
          <w:trHeight w:val="264"/>
        </w:trPr>
        <w:tc>
          <w:tcPr>
            <w:tcW w:w="1616"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22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22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334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7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2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30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80" w:type="dxa"/>
            <w:tcBorders>
              <w:top w:val="nil"/>
              <w:left w:val="nil"/>
              <w:bottom w:val="nil"/>
              <w:right w:val="nil"/>
              <w:tl2br w:val="nil"/>
              <w:tr2bl w:val="nil"/>
            </w:tcBorders>
            <w:noWrap/>
            <w:vAlign w:val="bottom"/>
          </w:tcPr>
          <w:p w:rsidR="00B87C8A" w:rsidRDefault="002D1C8A">
            <w:pPr>
              <w:widowControl/>
              <w:jc w:val="right"/>
              <w:textAlignment w:val="bottom"/>
              <w:rPr>
                <w:rFonts w:ascii="宋体" w:hAnsi="宋体" w:cs="宋体" w:hint="default"/>
                <w:color w:val="000000"/>
                <w:sz w:val="20"/>
                <w:szCs w:val="20"/>
              </w:rPr>
            </w:pPr>
            <w:r>
              <w:rPr>
                <w:rFonts w:ascii="宋体" w:hAnsi="宋体" w:cs="宋体"/>
                <w:color w:val="000000"/>
                <w:kern w:val="0"/>
                <w:sz w:val="20"/>
                <w:szCs w:val="20"/>
              </w:rPr>
              <w:t>公开03表</w:t>
            </w:r>
          </w:p>
        </w:tc>
      </w:tr>
      <w:tr w:rsidR="00B87C8A">
        <w:trPr>
          <w:trHeight w:val="264"/>
        </w:trPr>
        <w:tc>
          <w:tcPr>
            <w:tcW w:w="1616" w:type="dxa"/>
            <w:tcBorders>
              <w:top w:val="nil"/>
              <w:left w:val="nil"/>
              <w:bottom w:val="nil"/>
              <w:right w:val="nil"/>
              <w:tl2br w:val="nil"/>
              <w:tr2bl w:val="nil"/>
            </w:tcBorders>
            <w:noWrap/>
            <w:vAlign w:val="bottom"/>
          </w:tcPr>
          <w:p w:rsidR="00B87C8A" w:rsidRDefault="002D1C8A">
            <w:pPr>
              <w:widowControl/>
              <w:ind w:firstLine="0"/>
              <w:jc w:val="left"/>
              <w:textAlignment w:val="bottom"/>
              <w:rPr>
                <w:rFonts w:ascii="宋体" w:hAnsi="宋体" w:cs="宋体" w:hint="default"/>
                <w:color w:val="000000"/>
                <w:sz w:val="20"/>
                <w:szCs w:val="20"/>
              </w:rPr>
            </w:pPr>
            <w:r>
              <w:rPr>
                <w:rFonts w:ascii="宋体" w:hAnsi="宋体" w:cs="宋体"/>
                <w:color w:val="000000"/>
                <w:kern w:val="0"/>
                <w:sz w:val="20"/>
                <w:szCs w:val="20"/>
              </w:rPr>
              <w:t>部门：吉首大学</w:t>
            </w:r>
          </w:p>
        </w:tc>
        <w:tc>
          <w:tcPr>
            <w:tcW w:w="22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22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3342"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7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2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4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30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8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308"/>
        </w:trPr>
        <w:tc>
          <w:tcPr>
            <w:tcW w:w="5402"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w:t>
            </w:r>
          </w:p>
        </w:tc>
        <w:tc>
          <w:tcPr>
            <w:tcW w:w="174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本年支出合计</w:t>
            </w:r>
          </w:p>
        </w:tc>
        <w:tc>
          <w:tcPr>
            <w:tcW w:w="182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基本支出</w:t>
            </w:r>
          </w:p>
        </w:tc>
        <w:tc>
          <w:tcPr>
            <w:tcW w:w="154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项目支出</w:t>
            </w:r>
          </w:p>
        </w:tc>
        <w:tc>
          <w:tcPr>
            <w:tcW w:w="154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上缴上级支出</w:t>
            </w:r>
          </w:p>
        </w:tc>
        <w:tc>
          <w:tcPr>
            <w:tcW w:w="130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经营支出</w:t>
            </w:r>
          </w:p>
        </w:tc>
        <w:tc>
          <w:tcPr>
            <w:tcW w:w="188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对附属单位补助支出</w:t>
            </w:r>
          </w:p>
        </w:tc>
      </w:tr>
      <w:tr w:rsidR="00B87C8A">
        <w:trPr>
          <w:trHeight w:val="308"/>
        </w:trPr>
        <w:tc>
          <w:tcPr>
            <w:tcW w:w="2060"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功能分类科目编码</w:t>
            </w:r>
          </w:p>
        </w:tc>
        <w:tc>
          <w:tcPr>
            <w:tcW w:w="334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科目名称</w:t>
            </w:r>
          </w:p>
        </w:tc>
        <w:tc>
          <w:tcPr>
            <w:tcW w:w="17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8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0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88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08"/>
        </w:trPr>
        <w:tc>
          <w:tcPr>
            <w:tcW w:w="2060"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34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7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8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0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88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12"/>
        </w:trPr>
        <w:tc>
          <w:tcPr>
            <w:tcW w:w="2060"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34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7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8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0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88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08"/>
        </w:trPr>
        <w:tc>
          <w:tcPr>
            <w:tcW w:w="5402"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栏次</w:t>
            </w:r>
          </w:p>
        </w:tc>
        <w:tc>
          <w:tcPr>
            <w:tcW w:w="174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w:t>
            </w:r>
          </w:p>
        </w:tc>
        <w:tc>
          <w:tcPr>
            <w:tcW w:w="18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w:t>
            </w:r>
          </w:p>
        </w:tc>
        <w:tc>
          <w:tcPr>
            <w:tcW w:w="154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c>
          <w:tcPr>
            <w:tcW w:w="154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w:t>
            </w:r>
          </w:p>
        </w:tc>
        <w:tc>
          <w:tcPr>
            <w:tcW w:w="13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w:t>
            </w:r>
          </w:p>
        </w:tc>
        <w:tc>
          <w:tcPr>
            <w:tcW w:w="188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w:t>
            </w:r>
          </w:p>
        </w:tc>
      </w:tr>
      <w:tr w:rsidR="00B87C8A">
        <w:trPr>
          <w:trHeight w:val="308"/>
        </w:trPr>
        <w:tc>
          <w:tcPr>
            <w:tcW w:w="5402"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60,963.33</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39,389.10</w:t>
            </w: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21,574.23</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一般公共服务支出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56.89</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56.89</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20104</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发展与改革事务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2010499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其他发展与改革事务支出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20123</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民族事务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2012304</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民族工作专项</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群众团体事务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2012902</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一般行政管理事务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教育支出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54,605.28</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33,900.94</w:t>
            </w: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20,704.34</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20502</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普通教育</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54,605.28</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33,900.94</w:t>
            </w: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20,704.34</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2050205</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高等教育</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54,605.28</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33,900.94</w:t>
            </w: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20,704.34</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科学技术支出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480.20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480.20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20602</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基础研究</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2060203</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自然科学基金</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20603</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应用研究</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2060303</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高技术研究</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20605</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科技条件与服务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2060599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其他科技条件与服务支出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20606</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社会科学</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2060699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其他社会科学支出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科学技术普及</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2060702</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科普活动</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其他科学技术普及支出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auto"/>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20609</w:t>
            </w:r>
          </w:p>
        </w:tc>
        <w:tc>
          <w:tcPr>
            <w:tcW w:w="3342" w:type="dxa"/>
            <w:tcBorders>
              <w:top w:val="nil"/>
              <w:left w:val="nil"/>
              <w:bottom w:val="single" w:sz="4" w:space="0" w:color="auto"/>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科技重大项目</w:t>
            </w:r>
          </w:p>
        </w:tc>
        <w:tc>
          <w:tcPr>
            <w:tcW w:w="1740" w:type="dxa"/>
            <w:tcBorders>
              <w:top w:val="nil"/>
              <w:left w:val="nil"/>
              <w:bottom w:val="single" w:sz="4" w:space="0" w:color="auto"/>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auto"/>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auto"/>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single" w:sz="4" w:space="0" w:color="auto"/>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lastRenderedPageBreak/>
              <w:t>2060902</w:t>
            </w:r>
          </w:p>
        </w:tc>
        <w:tc>
          <w:tcPr>
            <w:tcW w:w="3342"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重点研发计划</w:t>
            </w:r>
          </w:p>
        </w:tc>
        <w:tc>
          <w:tcPr>
            <w:tcW w:w="1740"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single" w:sz="4" w:space="0" w:color="auto"/>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single" w:sz="4" w:space="0" w:color="auto"/>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其他科学技术支出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2069901</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科技奖励</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文化旅游体育与传媒支出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20701</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文化和旅游</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2070199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其他文化和旅游支出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社会保障和就业支出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3,184.60</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20805</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行政事业单位养老支出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2080505</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机关事业单位基本养老保险缴费支出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20807</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就业补助</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2080799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其他就业补助支出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卫生健康支出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公共卫生</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251.20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251.20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2100409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重大公共卫生服务</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2100499</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其他公共卫生支出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63.20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63.20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21006</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中医药</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2100601</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中医（民族医）药专项</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8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住房保障支出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22102</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住房改革支出</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2,333.16</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060"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2210201</w:t>
            </w:r>
          </w:p>
        </w:tc>
        <w:tc>
          <w:tcPr>
            <w:tcW w:w="334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Chars="100" w:firstLine="220"/>
              <w:jc w:val="left"/>
              <w:textAlignment w:val="center"/>
              <w:rPr>
                <w:rFonts w:ascii="宋体" w:hAnsi="宋体" w:cs="宋体" w:hint="default"/>
                <w:color w:val="000000"/>
                <w:sz w:val="22"/>
              </w:rPr>
            </w:pPr>
            <w:r>
              <w:rPr>
                <w:rFonts w:ascii="宋体" w:hAnsi="宋体" w:cs="宋体"/>
                <w:color w:val="000000"/>
                <w:kern w:val="0"/>
                <w:sz w:val="22"/>
              </w:rPr>
              <w:t>住房公积金</w:t>
            </w:r>
          </w:p>
        </w:tc>
        <w:tc>
          <w:tcPr>
            <w:tcW w:w="1740" w:type="dxa"/>
            <w:tcBorders>
              <w:top w:val="nil"/>
              <w:left w:val="nil"/>
              <w:bottom w:val="single" w:sz="4" w:space="0" w:color="000000"/>
              <w:right w:val="single" w:sz="4" w:space="0" w:color="000000"/>
              <w:tl2br w:val="nil"/>
              <w:tr2bl w:val="nil"/>
            </w:tcBorders>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2,333.16</w:t>
            </w:r>
          </w:p>
        </w:tc>
        <w:tc>
          <w:tcPr>
            <w:tcW w:w="1820" w:type="dxa"/>
            <w:tcBorders>
              <w:top w:val="nil"/>
              <w:left w:val="nil"/>
              <w:bottom w:val="single" w:sz="4" w:space="0" w:color="000000"/>
              <w:right w:val="single" w:sz="4" w:space="0" w:color="000000"/>
              <w:tl2br w:val="nil"/>
              <w:tr2bl w:val="nil"/>
            </w:tcBorders>
            <w:noWrap/>
            <w:vAlign w:val="center"/>
          </w:tcPr>
          <w:p w:rsidR="00B87C8A" w:rsidRDefault="002D1C8A">
            <w:pPr>
              <w:widowControl/>
              <w:jc w:val="right"/>
              <w:textAlignment w:val="center"/>
              <w:rPr>
                <w:rFonts w:ascii="宋体" w:hAnsi="宋体" w:cs="宋体" w:hint="default"/>
                <w:color w:val="000000"/>
                <w:sz w:val="22"/>
              </w:rPr>
            </w:pPr>
            <w:r>
              <w:rPr>
                <w:rFonts w:ascii="宋体" w:hAnsi="宋体" w:cs="宋体"/>
                <w:color w:val="000000"/>
                <w:kern w:val="0"/>
                <w:sz w:val="22"/>
              </w:rPr>
              <w:t>2,333.16</w:t>
            </w: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jc w:val="right"/>
              <w:rPr>
                <w:rFonts w:ascii="宋体" w:hAnsi="宋体" w:cs="宋体" w:hint="default"/>
                <w:color w:val="000000"/>
                <w:sz w:val="22"/>
              </w:rPr>
            </w:pPr>
          </w:p>
        </w:tc>
        <w:tc>
          <w:tcPr>
            <w:tcW w:w="1540" w:type="dxa"/>
            <w:tcBorders>
              <w:top w:val="nil"/>
              <w:left w:val="nil"/>
              <w:bottom w:val="single" w:sz="4" w:space="0" w:color="000000"/>
              <w:right w:val="single" w:sz="4" w:space="0" w:color="000000"/>
              <w:tl2br w:val="nil"/>
              <w:tr2bl w:val="nil"/>
            </w:tcBorders>
            <w:noWrap/>
            <w:vAlign w:val="center"/>
          </w:tcPr>
          <w:p w:rsidR="00B87C8A" w:rsidRDefault="00B87C8A">
            <w:pPr>
              <w:jc w:val="right"/>
              <w:rPr>
                <w:rFonts w:ascii="宋体" w:hAnsi="宋体" w:cs="宋体" w:hint="default"/>
                <w:color w:val="000000"/>
                <w:sz w:val="22"/>
              </w:rPr>
            </w:pPr>
          </w:p>
        </w:tc>
        <w:tc>
          <w:tcPr>
            <w:tcW w:w="1300" w:type="dxa"/>
            <w:tcBorders>
              <w:top w:val="nil"/>
              <w:left w:val="nil"/>
              <w:bottom w:val="single" w:sz="4" w:space="0" w:color="000000"/>
              <w:right w:val="single" w:sz="4" w:space="0" w:color="000000"/>
              <w:tl2br w:val="nil"/>
              <w:tr2bl w:val="nil"/>
            </w:tcBorders>
            <w:noWrap/>
            <w:vAlign w:val="center"/>
          </w:tcPr>
          <w:p w:rsidR="00B87C8A" w:rsidRDefault="00B87C8A">
            <w:pPr>
              <w:jc w:val="right"/>
              <w:rPr>
                <w:rFonts w:ascii="宋体" w:hAnsi="宋体" w:cs="宋体" w:hint="default"/>
                <w:color w:val="000000"/>
                <w:sz w:val="22"/>
              </w:rPr>
            </w:pPr>
          </w:p>
        </w:tc>
        <w:tc>
          <w:tcPr>
            <w:tcW w:w="1880" w:type="dxa"/>
            <w:tcBorders>
              <w:top w:val="nil"/>
              <w:left w:val="nil"/>
              <w:bottom w:val="single" w:sz="4" w:space="0" w:color="000000"/>
              <w:right w:val="single" w:sz="4" w:space="0" w:color="000000"/>
              <w:tl2br w:val="nil"/>
              <w:tr2bl w:val="nil"/>
            </w:tcBorders>
            <w:noWrap/>
            <w:vAlign w:val="center"/>
          </w:tcPr>
          <w:p w:rsidR="00B87C8A" w:rsidRDefault="00B87C8A">
            <w:pPr>
              <w:jc w:val="right"/>
              <w:rPr>
                <w:rFonts w:ascii="宋体" w:hAnsi="宋体" w:cs="宋体" w:hint="default"/>
                <w:color w:val="000000"/>
                <w:sz w:val="22"/>
              </w:rPr>
            </w:pPr>
          </w:p>
        </w:tc>
      </w:tr>
      <w:tr w:rsidR="00B87C8A">
        <w:trPr>
          <w:trHeight w:val="308"/>
        </w:trPr>
        <w:tc>
          <w:tcPr>
            <w:tcW w:w="15222" w:type="dxa"/>
            <w:gridSpan w:val="10"/>
            <w:tcBorders>
              <w:top w:val="nil"/>
              <w:left w:val="nil"/>
              <w:bottom w:val="nil"/>
              <w:right w:val="nil"/>
              <w:tl2br w:val="nil"/>
              <w:tr2bl w:val="nil"/>
            </w:tcBorders>
            <w:noWrap/>
            <w:vAlign w:val="center"/>
          </w:tcPr>
          <w:p w:rsidR="00B87C8A" w:rsidRDefault="002D1C8A">
            <w:pPr>
              <w:widowControl/>
              <w:jc w:val="left"/>
              <w:textAlignment w:val="center"/>
              <w:rPr>
                <w:rFonts w:ascii="宋体" w:hAnsi="宋体" w:cs="宋体" w:hint="default"/>
                <w:color w:val="000000"/>
                <w:sz w:val="22"/>
              </w:rPr>
            </w:pPr>
            <w:r>
              <w:rPr>
                <w:rFonts w:ascii="宋体" w:hAnsi="宋体" w:cs="宋体"/>
                <w:color w:val="000000"/>
                <w:kern w:val="0"/>
                <w:sz w:val="22"/>
              </w:rPr>
              <w:t>注：本表反映部门本年度各项支出情况。</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82" w:type="dxa"/>
        <w:tblInd w:w="96" w:type="dxa"/>
        <w:tblLayout w:type="fixed"/>
        <w:tblLook w:val="04A0"/>
      </w:tblPr>
      <w:tblGrid>
        <w:gridCol w:w="3102"/>
        <w:gridCol w:w="800"/>
        <w:gridCol w:w="1360"/>
        <w:gridCol w:w="3420"/>
        <w:gridCol w:w="800"/>
        <w:gridCol w:w="1320"/>
        <w:gridCol w:w="1420"/>
        <w:gridCol w:w="1541"/>
        <w:gridCol w:w="1519"/>
      </w:tblGrid>
      <w:tr w:rsidR="00B87C8A">
        <w:trPr>
          <w:trHeight w:val="384"/>
        </w:trPr>
        <w:tc>
          <w:tcPr>
            <w:tcW w:w="15282" w:type="dxa"/>
            <w:gridSpan w:val="9"/>
            <w:tcBorders>
              <w:top w:val="nil"/>
              <w:left w:val="nil"/>
              <w:bottom w:val="nil"/>
              <w:right w:val="nil"/>
              <w:tl2br w:val="nil"/>
              <w:tr2bl w:val="nil"/>
            </w:tcBorders>
            <w:noWrap/>
            <w:vAlign w:val="bottom"/>
          </w:tcPr>
          <w:p w:rsidR="00B87C8A" w:rsidRDefault="002D1C8A">
            <w:pPr>
              <w:widowControl/>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四、财政拨款收入支出决算总表</w:t>
            </w:r>
          </w:p>
        </w:tc>
      </w:tr>
      <w:tr w:rsidR="00B87C8A">
        <w:trPr>
          <w:trHeight w:val="264"/>
        </w:trPr>
        <w:tc>
          <w:tcPr>
            <w:tcW w:w="3102"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80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36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42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80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42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541"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519"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公开04表</w:t>
            </w:r>
          </w:p>
        </w:tc>
      </w:tr>
      <w:tr w:rsidR="00B87C8A">
        <w:trPr>
          <w:trHeight w:val="264"/>
        </w:trPr>
        <w:tc>
          <w:tcPr>
            <w:tcW w:w="3102" w:type="dxa"/>
            <w:tcBorders>
              <w:top w:val="nil"/>
              <w:left w:val="nil"/>
              <w:bottom w:val="nil"/>
              <w:right w:val="nil"/>
              <w:tl2br w:val="nil"/>
              <w:tr2bl w:val="nil"/>
            </w:tcBorders>
            <w:noWrap/>
            <w:vAlign w:val="bottom"/>
          </w:tcPr>
          <w:p w:rsidR="00B87C8A" w:rsidRDefault="002D1C8A">
            <w:pPr>
              <w:widowControl/>
              <w:ind w:firstLine="0"/>
              <w:jc w:val="left"/>
              <w:textAlignment w:val="bottom"/>
              <w:rPr>
                <w:rFonts w:ascii="宋体" w:hAnsi="宋体" w:cs="宋体" w:hint="default"/>
                <w:color w:val="000000"/>
                <w:sz w:val="20"/>
                <w:szCs w:val="20"/>
              </w:rPr>
            </w:pPr>
            <w:r>
              <w:rPr>
                <w:rFonts w:ascii="宋体" w:hAnsi="宋体" w:cs="宋体"/>
                <w:color w:val="000000"/>
                <w:kern w:val="0"/>
                <w:sz w:val="20"/>
                <w:szCs w:val="20"/>
              </w:rPr>
              <w:t>部门：吉首大学</w:t>
            </w:r>
          </w:p>
        </w:tc>
        <w:tc>
          <w:tcPr>
            <w:tcW w:w="80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36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42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80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42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541"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519"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308"/>
        </w:trPr>
        <w:tc>
          <w:tcPr>
            <w:tcW w:w="5262"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收     入</w:t>
            </w:r>
          </w:p>
        </w:tc>
        <w:tc>
          <w:tcPr>
            <w:tcW w:w="10020"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支     出</w:t>
            </w:r>
          </w:p>
        </w:tc>
      </w:tr>
      <w:tr w:rsidR="00B87C8A">
        <w:trPr>
          <w:trHeight w:val="293"/>
        </w:trPr>
        <w:tc>
          <w:tcPr>
            <w:tcW w:w="3102"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w:t>
            </w:r>
          </w:p>
        </w:tc>
        <w:tc>
          <w:tcPr>
            <w:tcW w:w="8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行次</w:t>
            </w:r>
          </w:p>
        </w:tc>
        <w:tc>
          <w:tcPr>
            <w:tcW w:w="136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金额</w:t>
            </w:r>
          </w:p>
        </w:tc>
        <w:tc>
          <w:tcPr>
            <w:tcW w:w="34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w:t>
            </w:r>
          </w:p>
        </w:tc>
        <w:tc>
          <w:tcPr>
            <w:tcW w:w="8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行次</w:t>
            </w:r>
          </w:p>
        </w:tc>
        <w:tc>
          <w:tcPr>
            <w:tcW w:w="13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14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一般公共预算财政拨款</w:t>
            </w:r>
          </w:p>
        </w:tc>
        <w:tc>
          <w:tcPr>
            <w:tcW w:w="1541"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政府性基金预算财政拨款</w:t>
            </w:r>
          </w:p>
        </w:tc>
        <w:tc>
          <w:tcPr>
            <w:tcW w:w="1519"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国有资本经营预算财政拨款</w:t>
            </w:r>
          </w:p>
        </w:tc>
      </w:tr>
      <w:tr w:rsidR="00B87C8A">
        <w:trPr>
          <w:trHeight w:val="615"/>
        </w:trPr>
        <w:tc>
          <w:tcPr>
            <w:tcW w:w="3102"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8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4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8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4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41"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19"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栏次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栏次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w:t>
            </w:r>
          </w:p>
        </w:tc>
        <w:tc>
          <w:tcPr>
            <w:tcW w:w="1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c>
          <w:tcPr>
            <w:tcW w:w="1541"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w:t>
            </w:r>
          </w:p>
        </w:tc>
        <w:tc>
          <w:tcPr>
            <w:tcW w:w="1519"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w:t>
            </w: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一、一般公共预算财政拨款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54,107.59</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一、一般公共服务支出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33</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56.89</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56.89</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二、政府性基金预算财政拨款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二、外交支出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三、国有资本经营财政拨款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三、国防支出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35</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四、公共安全支出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36</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五、教育支出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37</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31,788.52</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31,788.52</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六、科学技术支出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38</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480.20</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480.20</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七、文化旅游体育与传媒支出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39</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八、社会保障和就业支出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40</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3,184.60</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3,184.60</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九、卫生健康支出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41</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十、节能环保支出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42</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十一、城乡社区支出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43</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十二、农林水支出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十三、交通运输支出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45</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十四、资源勘探工业信息等支出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46</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十五、商业服务业等支出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47</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十六、金融支出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48</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十七、援助其他地区支出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49</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十八、自然资源海洋气象等支出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50</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十九、住房保障支出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51</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二十、粮油物资储备支出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52</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二十一、国有资本经营预算支出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53</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二十二、灾害防治及应急管理支出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54</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二十三、其他支出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55</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b/>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二十四、债务还本支出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56</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二十五、债务付息支出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57</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二十六、抗疫特别国债安排的支出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58</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b/>
                <w:color w:val="000000"/>
                <w:sz w:val="22"/>
              </w:rPr>
            </w:pPr>
            <w:r>
              <w:rPr>
                <w:rFonts w:ascii="宋体" w:hAnsi="宋体" w:cs="宋体"/>
                <w:b/>
                <w:color w:val="000000"/>
                <w:kern w:val="0"/>
                <w:sz w:val="22"/>
              </w:rPr>
              <w:t>本年收入合计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54,107.59</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b/>
                <w:color w:val="000000"/>
                <w:sz w:val="22"/>
              </w:rPr>
            </w:pPr>
            <w:r>
              <w:rPr>
                <w:rFonts w:ascii="宋体" w:hAnsi="宋体" w:cs="宋体"/>
                <w:b/>
                <w:color w:val="000000"/>
                <w:kern w:val="0"/>
                <w:sz w:val="22"/>
              </w:rPr>
              <w:t>本年支出合计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59</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37,214.92</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37,214.92</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年初财政拨款结转和结余</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920.81</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年末财政拨款结转和结余</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60</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17,813.48</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17,813.48</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一般公共预算财政拨款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920.81</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0"/>
                <w:szCs w:val="20"/>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61</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政府性基金预算财政拨款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0"/>
                <w:szCs w:val="20"/>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62</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国有资本经营预算财政拨款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right"/>
              <w:rPr>
                <w:rFonts w:ascii="宋体" w:hAnsi="宋体" w:cs="宋体" w:hint="default"/>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63</w:t>
            </w:r>
          </w:p>
        </w:tc>
        <w:tc>
          <w:tcPr>
            <w:tcW w:w="13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b/>
                <w:color w:val="000000"/>
                <w:sz w:val="22"/>
              </w:rPr>
            </w:pPr>
            <w:r>
              <w:rPr>
                <w:rFonts w:ascii="宋体" w:hAnsi="宋体" w:cs="宋体"/>
                <w:b/>
                <w:color w:val="000000"/>
                <w:kern w:val="0"/>
                <w:sz w:val="22"/>
              </w:rPr>
              <w:t>总计</w:t>
            </w:r>
          </w:p>
        </w:tc>
        <w:tc>
          <w:tcPr>
            <w:tcW w:w="800" w:type="dxa"/>
            <w:tcBorders>
              <w:top w:val="nil"/>
              <w:left w:val="nil"/>
              <w:bottom w:val="single" w:sz="8"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55,028.40</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b/>
                <w:color w:val="000000"/>
                <w:sz w:val="22"/>
              </w:rPr>
            </w:pPr>
            <w:r>
              <w:rPr>
                <w:rFonts w:ascii="宋体" w:hAnsi="宋体" w:cs="宋体"/>
                <w:b/>
                <w:color w:val="000000"/>
                <w:kern w:val="0"/>
                <w:sz w:val="22"/>
              </w:rPr>
              <w:t>总计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64</w:t>
            </w: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55,028.40</w:t>
            </w:r>
          </w:p>
        </w:tc>
        <w:tc>
          <w:tcPr>
            <w:tcW w:w="14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55,028.40</w:t>
            </w:r>
          </w:p>
        </w:tc>
        <w:tc>
          <w:tcPr>
            <w:tcW w:w="1541"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5282" w:type="dxa"/>
            <w:gridSpan w:val="9"/>
            <w:vMerge w:val="restart"/>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注：本表反映部门本年度一般公共预算财政拨款、政府性基金预算财政拨款和国有资本经营预算财政拨款的总收支和年末结转结余情况。</w:t>
            </w:r>
          </w:p>
        </w:tc>
      </w:tr>
      <w:tr w:rsidR="00B87C8A">
        <w:trPr>
          <w:trHeight w:val="353"/>
        </w:trPr>
        <w:tc>
          <w:tcPr>
            <w:tcW w:w="15282" w:type="dxa"/>
            <w:gridSpan w:val="9"/>
            <w:vMerge/>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2"/>
              </w:rPr>
            </w:pP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82" w:type="dxa"/>
        <w:tblInd w:w="96" w:type="dxa"/>
        <w:tblLayout w:type="fixed"/>
        <w:tblLook w:val="04A0"/>
      </w:tblPr>
      <w:tblGrid>
        <w:gridCol w:w="1614"/>
        <w:gridCol w:w="236"/>
        <w:gridCol w:w="723"/>
        <w:gridCol w:w="4196"/>
        <w:gridCol w:w="2538"/>
        <w:gridCol w:w="2458"/>
        <w:gridCol w:w="3517"/>
      </w:tblGrid>
      <w:tr w:rsidR="00B87C8A">
        <w:trPr>
          <w:trHeight w:val="384"/>
        </w:trPr>
        <w:tc>
          <w:tcPr>
            <w:tcW w:w="15282" w:type="dxa"/>
            <w:gridSpan w:val="7"/>
            <w:tcBorders>
              <w:top w:val="nil"/>
              <w:left w:val="nil"/>
              <w:bottom w:val="nil"/>
              <w:right w:val="nil"/>
              <w:tl2br w:val="nil"/>
              <w:tr2bl w:val="nil"/>
            </w:tcBorders>
            <w:noWrap/>
            <w:vAlign w:val="bottom"/>
          </w:tcPr>
          <w:p w:rsidR="00B87C8A" w:rsidRDefault="002D1C8A">
            <w:pPr>
              <w:widowControl/>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五、一般公共预算财政拨款支出决算表</w:t>
            </w:r>
          </w:p>
        </w:tc>
      </w:tr>
      <w:tr w:rsidR="00B87C8A">
        <w:trPr>
          <w:trHeight w:val="264"/>
        </w:trPr>
        <w:tc>
          <w:tcPr>
            <w:tcW w:w="1616"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22"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724"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420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54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46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52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公开05表</w:t>
            </w:r>
          </w:p>
        </w:tc>
      </w:tr>
      <w:tr w:rsidR="00B87C8A">
        <w:trPr>
          <w:trHeight w:val="264"/>
        </w:trPr>
        <w:tc>
          <w:tcPr>
            <w:tcW w:w="1616" w:type="dxa"/>
            <w:tcBorders>
              <w:top w:val="nil"/>
              <w:left w:val="nil"/>
              <w:bottom w:val="nil"/>
              <w:right w:val="nil"/>
              <w:tl2br w:val="nil"/>
              <w:tr2bl w:val="nil"/>
            </w:tcBorders>
            <w:noWrap/>
            <w:vAlign w:val="bottom"/>
          </w:tcPr>
          <w:p w:rsidR="00B87C8A" w:rsidRDefault="002D1C8A">
            <w:pPr>
              <w:widowControl/>
              <w:ind w:firstLine="0"/>
              <w:jc w:val="left"/>
              <w:textAlignment w:val="bottom"/>
              <w:rPr>
                <w:rFonts w:ascii="宋体" w:hAnsi="宋体" w:cs="宋体" w:hint="default"/>
                <w:color w:val="000000"/>
                <w:sz w:val="20"/>
                <w:szCs w:val="20"/>
              </w:rPr>
            </w:pPr>
            <w:r>
              <w:rPr>
                <w:rFonts w:ascii="宋体" w:hAnsi="宋体" w:cs="宋体"/>
                <w:color w:val="000000"/>
                <w:kern w:val="0"/>
                <w:sz w:val="20"/>
                <w:szCs w:val="20"/>
              </w:rPr>
              <w:t>部门：吉首大学</w:t>
            </w:r>
          </w:p>
        </w:tc>
        <w:tc>
          <w:tcPr>
            <w:tcW w:w="222"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724"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420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54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46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52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308"/>
        </w:trPr>
        <w:tc>
          <w:tcPr>
            <w:tcW w:w="6762"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w:t>
            </w:r>
          </w:p>
        </w:tc>
        <w:tc>
          <w:tcPr>
            <w:tcW w:w="8520"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本年支出</w:t>
            </w:r>
          </w:p>
        </w:tc>
      </w:tr>
      <w:tr w:rsidR="00B87C8A">
        <w:trPr>
          <w:trHeight w:val="308"/>
        </w:trPr>
        <w:tc>
          <w:tcPr>
            <w:tcW w:w="2562"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功能分类科目编码</w:t>
            </w:r>
          </w:p>
        </w:tc>
        <w:tc>
          <w:tcPr>
            <w:tcW w:w="42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科目名称</w:t>
            </w:r>
          </w:p>
        </w:tc>
        <w:tc>
          <w:tcPr>
            <w:tcW w:w="254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小计</w:t>
            </w:r>
          </w:p>
        </w:tc>
        <w:tc>
          <w:tcPr>
            <w:tcW w:w="246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基本支出</w:t>
            </w:r>
          </w:p>
        </w:tc>
        <w:tc>
          <w:tcPr>
            <w:tcW w:w="35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项目支出</w:t>
            </w:r>
          </w:p>
        </w:tc>
      </w:tr>
      <w:tr w:rsidR="00B87C8A">
        <w:trPr>
          <w:trHeight w:val="285"/>
        </w:trPr>
        <w:tc>
          <w:tcPr>
            <w:tcW w:w="2562"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42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54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4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5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615"/>
        </w:trPr>
        <w:tc>
          <w:tcPr>
            <w:tcW w:w="2562"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42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54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4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5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08"/>
        </w:trPr>
        <w:tc>
          <w:tcPr>
            <w:tcW w:w="6762"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栏次</w:t>
            </w:r>
          </w:p>
        </w:tc>
        <w:tc>
          <w:tcPr>
            <w:tcW w:w="254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w:t>
            </w:r>
          </w:p>
        </w:tc>
        <w:tc>
          <w:tcPr>
            <w:tcW w:w="24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w:t>
            </w:r>
          </w:p>
        </w:tc>
        <w:tc>
          <w:tcPr>
            <w:tcW w:w="35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r>
      <w:tr w:rsidR="00B87C8A">
        <w:trPr>
          <w:trHeight w:val="308"/>
        </w:trPr>
        <w:tc>
          <w:tcPr>
            <w:tcW w:w="6762"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37,214.92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25,701.46</w:t>
            </w: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b/>
                <w:color w:val="000000"/>
                <w:sz w:val="22"/>
              </w:rPr>
            </w:pPr>
            <w:r>
              <w:rPr>
                <w:rFonts w:ascii="宋体" w:hAnsi="宋体" w:cs="宋体"/>
                <w:b/>
                <w:color w:val="000000"/>
                <w:kern w:val="0"/>
                <w:sz w:val="22"/>
              </w:rPr>
              <w:t>11,513.46</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一般公共服务支出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56.89</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56.89</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20104</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发展与改革事务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2010499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其他发展与改革事务支出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5.39</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20123</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民族事务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2012304</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民族工作专项</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群众团体事务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2012902</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一般行政管理事务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教育支出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31,788.52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21,144.94</w:t>
            </w: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10,643.57</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20502</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普通教育</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31,788.52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21,144.94</w:t>
            </w: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10,643.57</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2050205</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高等教育</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31,788.52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21,144.94</w:t>
            </w: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10,643.57</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科学技术支出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480.20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480.20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20602</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基础研究</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2060203</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自然科学基金</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115.00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20603</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应用研究</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2060303</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高技术研究</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20605</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科技条件与服务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2060599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其他科技条件与服务支出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20606</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社会科学</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2060699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其他社会科学支出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145.20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科学技术普及</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15.00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2060702</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科普活动</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2060799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其他科学技术普及支出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20609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科技重大项目</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lastRenderedPageBreak/>
              <w:t>2060902</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重点研发计划</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其他科学技术支出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2069901</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科技奖励</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35.00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文化旅游体育与传媒支出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20701</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文化和旅游</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2070199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其他文化和旅游支出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50.00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社会保障和就业支出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3,184.60</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20805</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行政事业单位养老支出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35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2080505</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机关事业单位基本养老保险缴费支出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3,155.00</w:t>
            </w:r>
          </w:p>
        </w:tc>
        <w:tc>
          <w:tcPr>
            <w:tcW w:w="35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20807</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就业补助</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2080799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其他就业补助支出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29.60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卫生健康支出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253.20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公共卫生</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251.20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251.20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2100409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重大公共卫生服务</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188.00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2100499</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其他公共卫生支出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63.20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63.20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21006</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中医药</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2100601</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中医（民族医）药专项</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c>
          <w:tcPr>
            <w:tcW w:w="24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35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2.00</w:t>
            </w: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住房保障支出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35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22102</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住房改革支出</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35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2562"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2210201</w:t>
            </w:r>
          </w:p>
        </w:tc>
        <w:tc>
          <w:tcPr>
            <w:tcW w:w="420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住房公积金</w:t>
            </w:r>
          </w:p>
        </w:tc>
        <w:tc>
          <w:tcPr>
            <w:tcW w:w="254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246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right"/>
              <w:textAlignment w:val="center"/>
              <w:rPr>
                <w:rFonts w:ascii="宋体" w:hAnsi="宋体" w:cs="宋体" w:hint="default"/>
                <w:color w:val="000000"/>
                <w:sz w:val="22"/>
              </w:rPr>
            </w:pPr>
            <w:r>
              <w:rPr>
                <w:rFonts w:ascii="宋体" w:hAnsi="宋体" w:cs="宋体"/>
                <w:color w:val="000000"/>
                <w:kern w:val="0"/>
                <w:sz w:val="22"/>
              </w:rPr>
              <w:t>1,401.52</w:t>
            </w:r>
          </w:p>
        </w:tc>
        <w:tc>
          <w:tcPr>
            <w:tcW w:w="35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5282" w:type="dxa"/>
            <w:gridSpan w:val="7"/>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注：本表反映部门本年度一般公共预算财政拨款支出情况。</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20" w:type="dxa"/>
        <w:tblInd w:w="96" w:type="dxa"/>
        <w:tblLayout w:type="fixed"/>
        <w:tblLook w:val="04A0"/>
      </w:tblPr>
      <w:tblGrid>
        <w:gridCol w:w="1204"/>
        <w:gridCol w:w="2688"/>
        <w:gridCol w:w="1224"/>
        <w:gridCol w:w="1176"/>
        <w:gridCol w:w="2328"/>
        <w:gridCol w:w="1200"/>
        <w:gridCol w:w="1272"/>
        <w:gridCol w:w="2208"/>
        <w:gridCol w:w="1920"/>
      </w:tblGrid>
      <w:tr w:rsidR="00B87C8A">
        <w:trPr>
          <w:trHeight w:val="384"/>
        </w:trPr>
        <w:tc>
          <w:tcPr>
            <w:tcW w:w="15220" w:type="dxa"/>
            <w:gridSpan w:val="9"/>
            <w:tcBorders>
              <w:top w:val="nil"/>
              <w:left w:val="nil"/>
              <w:bottom w:val="nil"/>
              <w:right w:val="nil"/>
              <w:tl2br w:val="nil"/>
              <w:tr2bl w:val="nil"/>
            </w:tcBorders>
            <w:noWrap/>
            <w:vAlign w:val="bottom"/>
          </w:tcPr>
          <w:p w:rsidR="00B87C8A" w:rsidRDefault="002D1C8A">
            <w:pPr>
              <w:widowControl/>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六、一般公共预算财政拨款基本支出决算表</w:t>
            </w:r>
          </w:p>
        </w:tc>
      </w:tr>
      <w:tr w:rsidR="00B87C8A">
        <w:trPr>
          <w:trHeight w:val="90"/>
        </w:trPr>
        <w:tc>
          <w:tcPr>
            <w:tcW w:w="1204"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2688"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224"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176"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2328"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200"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272"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2208"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92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公开06表</w:t>
            </w:r>
          </w:p>
        </w:tc>
      </w:tr>
      <w:tr w:rsidR="00B87C8A">
        <w:trPr>
          <w:trHeight w:val="264"/>
        </w:trPr>
        <w:tc>
          <w:tcPr>
            <w:tcW w:w="3892" w:type="dxa"/>
            <w:gridSpan w:val="2"/>
            <w:tcBorders>
              <w:top w:val="nil"/>
              <w:left w:val="nil"/>
              <w:bottom w:val="nil"/>
              <w:right w:val="nil"/>
              <w:tl2br w:val="nil"/>
              <w:tr2bl w:val="nil"/>
            </w:tcBorders>
            <w:noWrap/>
            <w:vAlign w:val="bottom"/>
          </w:tcPr>
          <w:p w:rsidR="00B87C8A" w:rsidRDefault="002D1C8A">
            <w:pPr>
              <w:widowControl/>
              <w:ind w:firstLine="0"/>
              <w:jc w:val="left"/>
              <w:rPr>
                <w:rFonts w:ascii="Arial" w:hAnsi="Arial" w:cs="Arial" w:hint="default"/>
                <w:color w:val="000000"/>
                <w:sz w:val="20"/>
                <w:szCs w:val="20"/>
              </w:rPr>
            </w:pPr>
            <w:r>
              <w:rPr>
                <w:rFonts w:ascii="宋体" w:hAnsi="宋体" w:cs="宋体"/>
                <w:color w:val="000000"/>
                <w:kern w:val="0"/>
                <w:sz w:val="20"/>
                <w:szCs w:val="20"/>
              </w:rPr>
              <w:t>部门：吉首大学</w:t>
            </w:r>
          </w:p>
        </w:tc>
        <w:tc>
          <w:tcPr>
            <w:tcW w:w="1224"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176"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2328"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200"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272"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2208" w:type="dxa"/>
            <w:tcBorders>
              <w:top w:val="nil"/>
              <w:left w:val="nil"/>
              <w:bottom w:val="nil"/>
              <w:right w:val="nil"/>
              <w:tl2br w:val="nil"/>
              <w:tr2bl w:val="nil"/>
            </w:tcBorders>
            <w:noWrap/>
            <w:vAlign w:val="bottom"/>
          </w:tcPr>
          <w:p w:rsidR="00B87C8A" w:rsidRDefault="00B87C8A">
            <w:pPr>
              <w:widowControl/>
              <w:ind w:firstLine="0"/>
              <w:jc w:val="left"/>
              <w:rPr>
                <w:rFonts w:ascii="Arial" w:hAnsi="Arial" w:cs="Arial" w:hint="default"/>
                <w:color w:val="000000"/>
                <w:sz w:val="20"/>
                <w:szCs w:val="20"/>
              </w:rPr>
            </w:pPr>
          </w:p>
        </w:tc>
        <w:tc>
          <w:tcPr>
            <w:tcW w:w="192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308"/>
        </w:trPr>
        <w:tc>
          <w:tcPr>
            <w:tcW w:w="5116"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人员经费</w:t>
            </w:r>
          </w:p>
        </w:tc>
        <w:tc>
          <w:tcPr>
            <w:tcW w:w="10104"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tabs>
                <w:tab w:val="left" w:pos="10116"/>
              </w:tabs>
              <w:ind w:firstLine="0"/>
              <w:jc w:val="center"/>
              <w:textAlignment w:val="center"/>
              <w:rPr>
                <w:rFonts w:ascii="宋体" w:hAnsi="宋体" w:cs="宋体" w:hint="default"/>
                <w:color w:val="000000"/>
                <w:sz w:val="22"/>
              </w:rPr>
            </w:pPr>
            <w:r>
              <w:rPr>
                <w:rFonts w:ascii="宋体" w:hAnsi="宋体" w:cs="宋体"/>
                <w:color w:val="000000"/>
                <w:kern w:val="0"/>
                <w:sz w:val="22"/>
              </w:rPr>
              <w:t>公用经费</w:t>
            </w:r>
          </w:p>
        </w:tc>
      </w:tr>
      <w:tr w:rsidR="00B87C8A">
        <w:trPr>
          <w:trHeight w:val="308"/>
        </w:trPr>
        <w:tc>
          <w:tcPr>
            <w:tcW w:w="1204"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经济分类科目编码</w:t>
            </w:r>
          </w:p>
        </w:tc>
        <w:tc>
          <w:tcPr>
            <w:tcW w:w="268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科目名称</w:t>
            </w:r>
          </w:p>
        </w:tc>
        <w:tc>
          <w:tcPr>
            <w:tcW w:w="122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决算数</w:t>
            </w:r>
          </w:p>
        </w:tc>
        <w:tc>
          <w:tcPr>
            <w:tcW w:w="11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经济分类科目编码</w:t>
            </w:r>
          </w:p>
        </w:tc>
        <w:tc>
          <w:tcPr>
            <w:tcW w:w="232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科目名称</w:t>
            </w:r>
          </w:p>
        </w:tc>
        <w:tc>
          <w:tcPr>
            <w:tcW w:w="12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决算数</w:t>
            </w:r>
          </w:p>
        </w:tc>
        <w:tc>
          <w:tcPr>
            <w:tcW w:w="127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经济分类科目编码</w:t>
            </w:r>
          </w:p>
        </w:tc>
        <w:tc>
          <w:tcPr>
            <w:tcW w:w="220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科目名称</w:t>
            </w:r>
          </w:p>
        </w:tc>
        <w:tc>
          <w:tcPr>
            <w:tcW w:w="19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决算数</w:t>
            </w:r>
          </w:p>
        </w:tc>
      </w:tr>
      <w:tr w:rsidR="00B87C8A">
        <w:trPr>
          <w:trHeight w:val="308"/>
        </w:trPr>
        <w:tc>
          <w:tcPr>
            <w:tcW w:w="1204"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68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22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1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3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2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27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20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9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工资福利支出</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23,434.48</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商品和服务支出</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1,492.24</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307</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债务利息及费用支出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基本工资</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5,097.94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办公费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154.54</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30701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国内债务付息</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30102</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津贴补贴</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636.41</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印刷费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82.11</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30702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国外债务付息</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奖金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30203</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咨询费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资本性支出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30106</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伙食补助费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手续费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房屋建筑物购建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30107</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绩效工资</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11,813.19</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水费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办公设备购置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30108</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机关事业单位基本养老保险缴费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3,155.00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电费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31003</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专用设备购置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30109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职业年金缴费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邮电费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15.93</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31005</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基础设施建设</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30110</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职工基本医疗保险缴费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654.95</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取暖费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31006</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大型修缮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30111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公务员医疗补助缴费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30209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物业管理费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755.98</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31007</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信息网络及软件购置更新</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30112</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其他社会保障缴费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243.34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差旅费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100.00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31008</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物资储备</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30113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住房公积金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1,401.52</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因公出国（境）费用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31009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土地补偿</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30114</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医疗费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30213</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维修（护）费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31010</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安置补助</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30199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其他工资福利支出</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432.13</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租赁费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31011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地上附着物和青苗补偿</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对个人和家庭的补助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774.74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会议费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31012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拆迁补偿</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离休费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17.77</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培训费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31013</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公务用车购置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30302</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退休费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公务接待费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18.00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31019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其他交通工具购置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退职（役）费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30218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专用材料费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200.00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31021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文物和陈列品购置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30304</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抚恤金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5.32</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30224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被装购置费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31022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无形资产购置</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30305</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生活补助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538.41</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30225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专用燃料费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31099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其他资本性支出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30306</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救济费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30226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劳务费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49.29</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399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其他支出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30307</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医疗费补助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30227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委托业务费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107.50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39906</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赠与</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30308</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助学金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30228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工会经费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39907</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国家赔偿费用支出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30309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奖励金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30229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福利费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39908</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对民间非营利组织</w:t>
            </w:r>
            <w:r>
              <w:rPr>
                <w:rFonts w:ascii="宋体" w:hAnsi="宋体" w:cs="宋体"/>
                <w:color w:val="000000"/>
                <w:kern w:val="0"/>
                <w:sz w:val="22"/>
              </w:rPr>
              <w:lastRenderedPageBreak/>
              <w:t>和群众性自治组织补贴</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lastRenderedPageBreak/>
              <w:t>30310</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个人农业生产补贴</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30231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公务用车运行维护费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39999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其他支出</w:t>
            </w: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30311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代缴社会保险费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30239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其他交通费用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2.63</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30399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其他对个人和家庭的补助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213.24</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30240</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税金及附加费用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B87C8A">
            <w:pPr>
              <w:widowControl/>
              <w:ind w:firstLine="0"/>
              <w:jc w:val="left"/>
              <w:rPr>
                <w:rFonts w:ascii="宋体" w:hAnsi="宋体" w:cs="宋体" w:hint="default"/>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30299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 xml:space="preserve">  其他商品和服务支出</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6.26</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92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3892" w:type="dxa"/>
            <w:gridSpan w:val="2"/>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人员经费合计</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24,209.22</w:t>
            </w:r>
          </w:p>
        </w:tc>
        <w:tc>
          <w:tcPr>
            <w:tcW w:w="8184" w:type="dxa"/>
            <w:gridSpan w:val="5"/>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公用经费合计</w:t>
            </w:r>
          </w:p>
        </w:tc>
        <w:tc>
          <w:tcPr>
            <w:tcW w:w="19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1,492.24</w:t>
            </w:r>
          </w:p>
        </w:tc>
      </w:tr>
      <w:tr w:rsidR="00B87C8A">
        <w:trPr>
          <w:trHeight w:val="308"/>
        </w:trPr>
        <w:tc>
          <w:tcPr>
            <w:tcW w:w="15220" w:type="dxa"/>
            <w:gridSpan w:val="9"/>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注：本表反映部门本年度一般公共预算财政拨款基本支出明细情况。</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44" w:type="dxa"/>
        <w:tblInd w:w="96" w:type="dxa"/>
        <w:tblLayout w:type="fixed"/>
        <w:tblLook w:val="04A0"/>
      </w:tblPr>
      <w:tblGrid>
        <w:gridCol w:w="988"/>
        <w:gridCol w:w="1176"/>
        <w:gridCol w:w="792"/>
        <w:gridCol w:w="1608"/>
        <w:gridCol w:w="1632"/>
        <w:gridCol w:w="1512"/>
        <w:gridCol w:w="776"/>
        <w:gridCol w:w="1296"/>
        <w:gridCol w:w="832"/>
        <w:gridCol w:w="1704"/>
        <w:gridCol w:w="1608"/>
        <w:gridCol w:w="1320"/>
      </w:tblGrid>
      <w:tr w:rsidR="00B87C8A">
        <w:trPr>
          <w:trHeight w:val="384"/>
        </w:trPr>
        <w:tc>
          <w:tcPr>
            <w:tcW w:w="15244" w:type="dxa"/>
            <w:gridSpan w:val="12"/>
            <w:tcBorders>
              <w:top w:val="nil"/>
              <w:left w:val="nil"/>
              <w:bottom w:val="nil"/>
              <w:right w:val="nil"/>
              <w:tl2br w:val="nil"/>
              <w:tr2bl w:val="nil"/>
            </w:tcBorders>
            <w:noWrap/>
            <w:vAlign w:val="center"/>
          </w:tcPr>
          <w:p w:rsidR="00B87C8A" w:rsidRDefault="002D1C8A">
            <w:pPr>
              <w:widowControl/>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七、一般公共预算财政拨款“三公"经费支出决算表</w:t>
            </w:r>
          </w:p>
        </w:tc>
      </w:tr>
      <w:tr w:rsidR="00B87C8A">
        <w:trPr>
          <w:trHeight w:val="264"/>
        </w:trPr>
        <w:tc>
          <w:tcPr>
            <w:tcW w:w="988"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176"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79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63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51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776"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296"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83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704"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widowControl/>
              <w:ind w:firstLine="0"/>
              <w:jc w:val="right"/>
              <w:rPr>
                <w:rFonts w:ascii="Arial" w:hAnsi="Arial" w:cs="Arial" w:hint="default"/>
                <w:color w:val="000000"/>
                <w:sz w:val="20"/>
                <w:szCs w:val="20"/>
              </w:rPr>
            </w:pPr>
          </w:p>
        </w:tc>
        <w:tc>
          <w:tcPr>
            <w:tcW w:w="1320" w:type="dxa"/>
            <w:tcBorders>
              <w:top w:val="nil"/>
              <w:left w:val="nil"/>
              <w:bottom w:val="nil"/>
              <w:right w:val="nil"/>
              <w:tl2br w:val="nil"/>
              <w:tr2bl w:val="nil"/>
            </w:tcBorders>
            <w:noWrap/>
            <w:vAlign w:val="center"/>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公开07表</w:t>
            </w:r>
          </w:p>
        </w:tc>
      </w:tr>
      <w:tr w:rsidR="00B87C8A">
        <w:trPr>
          <w:trHeight w:val="264"/>
        </w:trPr>
        <w:tc>
          <w:tcPr>
            <w:tcW w:w="2164" w:type="dxa"/>
            <w:gridSpan w:val="2"/>
            <w:tcBorders>
              <w:top w:val="nil"/>
              <w:left w:val="nil"/>
              <w:bottom w:val="nil"/>
              <w:right w:val="nil"/>
              <w:tl2br w:val="nil"/>
              <w:tr2bl w:val="nil"/>
            </w:tcBorders>
            <w:noWrap/>
            <w:vAlign w:val="center"/>
          </w:tcPr>
          <w:p w:rsidR="00B87C8A" w:rsidRDefault="002D1C8A">
            <w:pPr>
              <w:widowControl/>
              <w:ind w:firstLine="0"/>
              <w:jc w:val="left"/>
              <w:rPr>
                <w:rFonts w:ascii="Arial" w:hAnsi="Arial" w:cs="Arial" w:hint="default"/>
                <w:color w:val="000000"/>
                <w:sz w:val="20"/>
                <w:szCs w:val="20"/>
              </w:rPr>
            </w:pPr>
            <w:r>
              <w:rPr>
                <w:rFonts w:ascii="宋体" w:hAnsi="宋体" w:cs="宋体"/>
                <w:color w:val="000000"/>
                <w:kern w:val="0"/>
                <w:sz w:val="20"/>
                <w:szCs w:val="20"/>
              </w:rPr>
              <w:t>部门：吉首大学</w:t>
            </w:r>
          </w:p>
        </w:tc>
        <w:tc>
          <w:tcPr>
            <w:tcW w:w="79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63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51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776"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296"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832"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1704" w:type="dxa"/>
            <w:tcBorders>
              <w:top w:val="nil"/>
              <w:left w:val="nil"/>
              <w:bottom w:val="nil"/>
              <w:right w:val="nil"/>
              <w:tl2br w:val="nil"/>
              <w:tr2bl w:val="nil"/>
            </w:tcBorders>
            <w:noWrap/>
            <w:vAlign w:val="center"/>
          </w:tcPr>
          <w:p w:rsidR="00B87C8A" w:rsidRDefault="00B87C8A">
            <w:pPr>
              <w:widowControl/>
              <w:ind w:firstLine="0"/>
              <w:jc w:val="center"/>
              <w:rPr>
                <w:rFonts w:ascii="Arial" w:hAnsi="Arial" w:cs="Arial" w:hint="default"/>
                <w:color w:val="000000"/>
                <w:sz w:val="20"/>
                <w:szCs w:val="20"/>
              </w:rPr>
            </w:pPr>
          </w:p>
        </w:tc>
        <w:tc>
          <w:tcPr>
            <w:tcW w:w="2928" w:type="dxa"/>
            <w:gridSpan w:val="2"/>
            <w:tcBorders>
              <w:top w:val="nil"/>
              <w:left w:val="nil"/>
              <w:bottom w:val="nil"/>
              <w:right w:val="nil"/>
              <w:tl2br w:val="nil"/>
              <w:tr2bl w:val="nil"/>
            </w:tcBorders>
            <w:noWrap/>
            <w:vAlign w:val="center"/>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447"/>
        </w:trPr>
        <w:tc>
          <w:tcPr>
            <w:tcW w:w="7708" w:type="dxa"/>
            <w:gridSpan w:val="6"/>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预算数</w:t>
            </w:r>
          </w:p>
        </w:tc>
        <w:tc>
          <w:tcPr>
            <w:tcW w:w="7536"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决算数</w:t>
            </w:r>
          </w:p>
        </w:tc>
      </w:tr>
      <w:tr w:rsidR="00B87C8A">
        <w:trPr>
          <w:trHeight w:val="555"/>
        </w:trPr>
        <w:tc>
          <w:tcPr>
            <w:tcW w:w="988"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11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因公出国（境）费</w:t>
            </w:r>
          </w:p>
        </w:tc>
        <w:tc>
          <w:tcPr>
            <w:tcW w:w="4032"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公务用车购置及运行费</w:t>
            </w:r>
          </w:p>
        </w:tc>
        <w:tc>
          <w:tcPr>
            <w:tcW w:w="151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公务接待费</w:t>
            </w:r>
          </w:p>
        </w:tc>
        <w:tc>
          <w:tcPr>
            <w:tcW w:w="7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129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因公出国（境）费</w:t>
            </w:r>
          </w:p>
        </w:tc>
        <w:tc>
          <w:tcPr>
            <w:tcW w:w="4144"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公务用车购置及运行费</w:t>
            </w:r>
          </w:p>
        </w:tc>
        <w:tc>
          <w:tcPr>
            <w:tcW w:w="13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公务接待费</w:t>
            </w:r>
          </w:p>
        </w:tc>
      </w:tr>
      <w:tr w:rsidR="00B87C8A">
        <w:trPr>
          <w:trHeight w:val="630"/>
        </w:trPr>
        <w:tc>
          <w:tcPr>
            <w:tcW w:w="98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1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79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小计</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公务用车购置费</w:t>
            </w:r>
          </w:p>
        </w:tc>
        <w:tc>
          <w:tcPr>
            <w:tcW w:w="16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公务用车运行费</w:t>
            </w:r>
          </w:p>
        </w:tc>
        <w:tc>
          <w:tcPr>
            <w:tcW w:w="151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7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12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c>
          <w:tcPr>
            <w:tcW w:w="8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小计</w:t>
            </w:r>
          </w:p>
        </w:tc>
        <w:tc>
          <w:tcPr>
            <w:tcW w:w="170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公务用车购置费</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公务用车运行费</w:t>
            </w:r>
          </w:p>
        </w:tc>
        <w:tc>
          <w:tcPr>
            <w:tcW w:w="13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left"/>
              <w:rPr>
                <w:rFonts w:ascii="宋体" w:hAnsi="宋体" w:cs="宋体" w:hint="default"/>
                <w:color w:val="000000"/>
                <w:sz w:val="22"/>
              </w:rPr>
            </w:pPr>
          </w:p>
        </w:tc>
      </w:tr>
      <w:tr w:rsidR="00B87C8A">
        <w:trPr>
          <w:trHeight w:val="308"/>
        </w:trPr>
        <w:tc>
          <w:tcPr>
            <w:tcW w:w="988"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1</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2</w:t>
            </w:r>
          </w:p>
        </w:tc>
        <w:tc>
          <w:tcPr>
            <w:tcW w:w="79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3</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4</w:t>
            </w:r>
          </w:p>
        </w:tc>
        <w:tc>
          <w:tcPr>
            <w:tcW w:w="16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5</w:t>
            </w:r>
          </w:p>
        </w:tc>
        <w:tc>
          <w:tcPr>
            <w:tcW w:w="151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6</w:t>
            </w:r>
          </w:p>
        </w:tc>
        <w:tc>
          <w:tcPr>
            <w:tcW w:w="7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7</w:t>
            </w:r>
          </w:p>
        </w:tc>
        <w:tc>
          <w:tcPr>
            <w:tcW w:w="129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8</w:t>
            </w:r>
          </w:p>
        </w:tc>
        <w:tc>
          <w:tcPr>
            <w:tcW w:w="8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9</w:t>
            </w:r>
          </w:p>
        </w:tc>
        <w:tc>
          <w:tcPr>
            <w:tcW w:w="170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10</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11</w:t>
            </w: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0"/>
                <w:szCs w:val="20"/>
              </w:rPr>
            </w:pPr>
            <w:r>
              <w:rPr>
                <w:rFonts w:ascii="宋体" w:hAnsi="宋体" w:cs="宋体"/>
                <w:color w:val="000000"/>
                <w:kern w:val="0"/>
                <w:sz w:val="20"/>
                <w:szCs w:val="20"/>
              </w:rPr>
              <w:t>12</w:t>
            </w:r>
          </w:p>
        </w:tc>
      </w:tr>
      <w:tr w:rsidR="00B87C8A">
        <w:trPr>
          <w:trHeight w:val="848"/>
        </w:trPr>
        <w:tc>
          <w:tcPr>
            <w:tcW w:w="988" w:type="dxa"/>
            <w:tcBorders>
              <w:top w:val="nil"/>
              <w:left w:val="single" w:sz="4" w:space="0" w:color="000000"/>
              <w:bottom w:val="single" w:sz="4" w:space="0" w:color="000000"/>
              <w:right w:val="single" w:sz="4" w:space="0" w:color="000000"/>
              <w:tl2br w:val="nil"/>
              <w:tr2bl w:val="nil"/>
            </w:tcBorders>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58.00</w:t>
            </w:r>
          </w:p>
        </w:tc>
        <w:tc>
          <w:tcPr>
            <w:tcW w:w="1176"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40.00</w:t>
            </w:r>
          </w:p>
        </w:tc>
        <w:tc>
          <w:tcPr>
            <w:tcW w:w="792"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2"/>
              </w:rPr>
            </w:pPr>
          </w:p>
        </w:tc>
        <w:tc>
          <w:tcPr>
            <w:tcW w:w="160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2"/>
              </w:rPr>
            </w:pPr>
          </w:p>
        </w:tc>
        <w:tc>
          <w:tcPr>
            <w:tcW w:w="1632"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2"/>
              </w:rPr>
            </w:pPr>
          </w:p>
        </w:tc>
        <w:tc>
          <w:tcPr>
            <w:tcW w:w="1512"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18.00</w:t>
            </w:r>
          </w:p>
        </w:tc>
        <w:tc>
          <w:tcPr>
            <w:tcW w:w="776"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18.00</w:t>
            </w:r>
          </w:p>
        </w:tc>
        <w:tc>
          <w:tcPr>
            <w:tcW w:w="1296"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2"/>
              </w:rPr>
            </w:pPr>
          </w:p>
        </w:tc>
        <w:tc>
          <w:tcPr>
            <w:tcW w:w="832"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0"/>
                <w:szCs w:val="20"/>
              </w:rPr>
            </w:pPr>
          </w:p>
        </w:tc>
        <w:tc>
          <w:tcPr>
            <w:tcW w:w="170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0"/>
                <w:szCs w:val="20"/>
              </w:rPr>
            </w:pPr>
          </w:p>
        </w:tc>
        <w:tc>
          <w:tcPr>
            <w:tcW w:w="160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center"/>
              <w:rPr>
                <w:rFonts w:ascii="宋体" w:hAnsi="宋体" w:cs="宋体" w:hint="default"/>
                <w:color w:val="000000"/>
                <w:sz w:val="20"/>
                <w:szCs w:val="20"/>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18.00</w:t>
            </w:r>
          </w:p>
        </w:tc>
      </w:tr>
      <w:tr w:rsidR="00B87C8A">
        <w:trPr>
          <w:trHeight w:val="585"/>
        </w:trPr>
        <w:tc>
          <w:tcPr>
            <w:tcW w:w="15244" w:type="dxa"/>
            <w:gridSpan w:val="12"/>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53" w:type="dxa"/>
        <w:tblInd w:w="96" w:type="dxa"/>
        <w:tblLook w:val="04A0"/>
      </w:tblPr>
      <w:tblGrid>
        <w:gridCol w:w="1616"/>
        <w:gridCol w:w="222"/>
        <w:gridCol w:w="222"/>
        <w:gridCol w:w="2761"/>
        <w:gridCol w:w="1888"/>
        <w:gridCol w:w="1510"/>
        <w:gridCol w:w="1699"/>
        <w:gridCol w:w="1699"/>
        <w:gridCol w:w="1699"/>
        <w:gridCol w:w="1937"/>
      </w:tblGrid>
      <w:tr w:rsidR="00B87C8A">
        <w:trPr>
          <w:trHeight w:val="384"/>
        </w:trPr>
        <w:tc>
          <w:tcPr>
            <w:tcW w:w="15253" w:type="dxa"/>
            <w:gridSpan w:val="10"/>
            <w:tcBorders>
              <w:top w:val="nil"/>
              <w:left w:val="nil"/>
              <w:bottom w:val="nil"/>
              <w:right w:val="nil"/>
              <w:tl2br w:val="nil"/>
              <w:tr2bl w:val="nil"/>
            </w:tcBorders>
            <w:noWrap/>
            <w:vAlign w:val="bottom"/>
          </w:tcPr>
          <w:p w:rsidR="00B87C8A" w:rsidRDefault="002D1C8A">
            <w:pPr>
              <w:widowControl/>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八、政府性基金预算财政拨款收入支出决算表</w:t>
            </w:r>
          </w:p>
        </w:tc>
      </w:tr>
      <w:tr w:rsidR="00B87C8A">
        <w:trPr>
          <w:trHeight w:val="264"/>
        </w:trPr>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888"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510" w:type="dxa"/>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rPr>
                <w:rFonts w:ascii="Arial" w:hAnsi="Arial" w:cs="Arial" w:hint="default"/>
                <w:color w:val="000000"/>
                <w:sz w:val="20"/>
                <w:szCs w:val="20"/>
              </w:rPr>
            </w:pPr>
          </w:p>
        </w:tc>
        <w:tc>
          <w:tcPr>
            <w:tcW w:w="1937" w:type="dxa"/>
            <w:tcBorders>
              <w:top w:val="nil"/>
              <w:left w:val="nil"/>
              <w:bottom w:val="nil"/>
              <w:right w:val="nil"/>
              <w:tl2br w:val="nil"/>
              <w:tr2bl w:val="nil"/>
            </w:tcBorders>
            <w:noWrap/>
            <w:vAlign w:val="bottom"/>
          </w:tcPr>
          <w:p w:rsidR="00B87C8A" w:rsidRDefault="002D1C8A">
            <w:pPr>
              <w:widowControl/>
              <w:jc w:val="right"/>
              <w:textAlignment w:val="bottom"/>
              <w:rPr>
                <w:rFonts w:ascii="宋体" w:hAnsi="宋体" w:cs="宋体" w:hint="default"/>
                <w:color w:val="000000"/>
                <w:sz w:val="20"/>
                <w:szCs w:val="20"/>
              </w:rPr>
            </w:pPr>
            <w:r>
              <w:rPr>
                <w:rFonts w:ascii="宋体" w:hAnsi="宋体" w:cs="宋体"/>
                <w:color w:val="000000"/>
                <w:kern w:val="0"/>
                <w:sz w:val="20"/>
                <w:szCs w:val="20"/>
              </w:rPr>
              <w:t>公开08表</w:t>
            </w:r>
          </w:p>
        </w:tc>
      </w:tr>
      <w:tr w:rsidR="00B87C8A">
        <w:trPr>
          <w:trHeight w:val="264"/>
        </w:trPr>
        <w:tc>
          <w:tcPr>
            <w:tcW w:w="0" w:type="auto"/>
            <w:tcBorders>
              <w:top w:val="nil"/>
              <w:left w:val="nil"/>
              <w:bottom w:val="nil"/>
              <w:right w:val="nil"/>
              <w:tl2br w:val="nil"/>
              <w:tr2bl w:val="nil"/>
            </w:tcBorders>
            <w:noWrap/>
            <w:vAlign w:val="bottom"/>
          </w:tcPr>
          <w:p w:rsidR="00B87C8A" w:rsidRDefault="002D1C8A">
            <w:pPr>
              <w:widowControl/>
              <w:ind w:firstLine="0"/>
              <w:jc w:val="left"/>
              <w:textAlignment w:val="bottom"/>
              <w:rPr>
                <w:rFonts w:ascii="宋体" w:hAnsi="宋体" w:cs="宋体" w:hint="default"/>
                <w:color w:val="000000"/>
                <w:sz w:val="20"/>
                <w:szCs w:val="20"/>
              </w:rPr>
            </w:pPr>
            <w:r>
              <w:rPr>
                <w:rFonts w:ascii="宋体" w:hAnsi="宋体" w:cs="宋体"/>
                <w:color w:val="000000"/>
                <w:kern w:val="0"/>
                <w:sz w:val="20"/>
                <w:szCs w:val="20"/>
              </w:rPr>
              <w:t>部门：吉首大学</w:t>
            </w:r>
          </w:p>
        </w:tc>
        <w:tc>
          <w:tcPr>
            <w:tcW w:w="0" w:type="auto"/>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888"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510"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0" w:type="auto"/>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1937"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308"/>
        </w:trPr>
        <w:tc>
          <w:tcPr>
            <w:tcW w:w="4821"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     目</w:t>
            </w:r>
          </w:p>
        </w:tc>
        <w:tc>
          <w:tcPr>
            <w:tcW w:w="1888"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年初结转和结余</w:t>
            </w:r>
          </w:p>
        </w:tc>
        <w:tc>
          <w:tcPr>
            <w:tcW w:w="151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本年收入</w:t>
            </w:r>
          </w:p>
        </w:tc>
        <w:tc>
          <w:tcPr>
            <w:tcW w:w="5097"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本年支出</w:t>
            </w:r>
          </w:p>
        </w:tc>
        <w:tc>
          <w:tcPr>
            <w:tcW w:w="1937"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年末结转和结余</w:t>
            </w:r>
          </w:p>
        </w:tc>
      </w:tr>
      <w:tr w:rsidR="00B87C8A">
        <w:trPr>
          <w:trHeight w:val="848"/>
        </w:trPr>
        <w:tc>
          <w:tcPr>
            <w:tcW w:w="2060" w:type="dxa"/>
            <w:gridSpan w:val="3"/>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功能分类科目编码</w:t>
            </w:r>
          </w:p>
        </w:tc>
        <w:tc>
          <w:tcPr>
            <w:tcW w:w="2761"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科目名称</w:t>
            </w:r>
          </w:p>
        </w:tc>
        <w:tc>
          <w:tcPr>
            <w:tcW w:w="188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51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1699"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小计</w:t>
            </w:r>
          </w:p>
        </w:tc>
        <w:tc>
          <w:tcPr>
            <w:tcW w:w="1699"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基本支出</w:t>
            </w:r>
          </w:p>
        </w:tc>
        <w:tc>
          <w:tcPr>
            <w:tcW w:w="1699"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项目支出</w:t>
            </w:r>
          </w:p>
        </w:tc>
        <w:tc>
          <w:tcPr>
            <w:tcW w:w="19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08"/>
        </w:trPr>
        <w:tc>
          <w:tcPr>
            <w:tcW w:w="4821"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栏  次</w:t>
            </w:r>
          </w:p>
        </w:tc>
        <w:tc>
          <w:tcPr>
            <w:tcW w:w="188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1</w:t>
            </w:r>
          </w:p>
        </w:tc>
        <w:tc>
          <w:tcPr>
            <w:tcW w:w="151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2</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4</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5</w:t>
            </w:r>
          </w:p>
        </w:tc>
        <w:tc>
          <w:tcPr>
            <w:tcW w:w="193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6</w:t>
            </w:r>
          </w:p>
        </w:tc>
      </w:tr>
      <w:tr w:rsidR="00B87C8A">
        <w:trPr>
          <w:trHeight w:val="308"/>
        </w:trPr>
        <w:tc>
          <w:tcPr>
            <w:tcW w:w="4821"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  计</w:t>
            </w: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r>
      <w:tr w:rsidR="00B87C8A">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188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51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1937"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r>
      <w:tr w:rsidR="00B87C8A">
        <w:trPr>
          <w:trHeight w:val="308"/>
        </w:trPr>
        <w:tc>
          <w:tcPr>
            <w:tcW w:w="15253" w:type="dxa"/>
            <w:gridSpan w:val="10"/>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kern w:val="0"/>
                <w:sz w:val="22"/>
              </w:rPr>
            </w:pPr>
            <w:r>
              <w:rPr>
                <w:rFonts w:ascii="宋体" w:hAnsi="宋体" w:cs="宋体"/>
                <w:color w:val="000000"/>
                <w:kern w:val="0"/>
                <w:sz w:val="22"/>
              </w:rPr>
              <w:t>注：本表反映部门本年度政府性基金预算财政拨款收入、支出及结转和结余情况。</w:t>
            </w:r>
          </w:p>
          <w:p w:rsidR="002D1C8A" w:rsidRDefault="002D1C8A">
            <w:pPr>
              <w:widowControl/>
              <w:ind w:firstLine="0"/>
              <w:jc w:val="left"/>
              <w:textAlignment w:val="center"/>
              <w:rPr>
                <w:rFonts w:ascii="宋体" w:hAnsi="宋体" w:cs="宋体" w:hint="default"/>
                <w:color w:val="000000"/>
                <w:sz w:val="22"/>
              </w:rPr>
            </w:pPr>
          </w:p>
        </w:tc>
      </w:tr>
      <w:tr w:rsidR="00B87C8A">
        <w:trPr>
          <w:trHeight w:val="308"/>
        </w:trPr>
        <w:tc>
          <w:tcPr>
            <w:tcW w:w="15253" w:type="dxa"/>
            <w:gridSpan w:val="10"/>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说明：我单位没有政府性基金收入，也没有使用政府性基金安排的支出，故本表无数据。</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tbl>
      <w:tblPr>
        <w:tblW w:w="15292" w:type="dxa"/>
        <w:tblInd w:w="96" w:type="dxa"/>
        <w:tblLayout w:type="fixed"/>
        <w:tblLook w:val="04A0"/>
      </w:tblPr>
      <w:tblGrid>
        <w:gridCol w:w="2328"/>
        <w:gridCol w:w="319"/>
        <w:gridCol w:w="319"/>
        <w:gridCol w:w="3554"/>
        <w:gridCol w:w="2748"/>
        <w:gridCol w:w="2664"/>
        <w:gridCol w:w="3360"/>
      </w:tblGrid>
      <w:tr w:rsidR="00B87C8A">
        <w:trPr>
          <w:trHeight w:val="384"/>
        </w:trPr>
        <w:tc>
          <w:tcPr>
            <w:tcW w:w="15292" w:type="dxa"/>
            <w:gridSpan w:val="7"/>
            <w:tcBorders>
              <w:top w:val="nil"/>
              <w:left w:val="nil"/>
              <w:bottom w:val="nil"/>
              <w:right w:val="nil"/>
              <w:tl2br w:val="nil"/>
              <w:tr2bl w:val="nil"/>
            </w:tcBorders>
            <w:noWrap/>
            <w:vAlign w:val="bottom"/>
          </w:tcPr>
          <w:p w:rsidR="00B87C8A" w:rsidRDefault="002D1C8A">
            <w:pPr>
              <w:widowControl/>
              <w:ind w:firstLine="0"/>
              <w:jc w:val="center"/>
              <w:textAlignment w:val="bottom"/>
              <w:rPr>
                <w:rFonts w:ascii="宋体" w:hAnsi="宋体" w:cs="宋体" w:hint="default"/>
                <w:color w:val="000000"/>
                <w:sz w:val="30"/>
                <w:szCs w:val="30"/>
              </w:rPr>
            </w:pPr>
            <w:r>
              <w:rPr>
                <w:rFonts w:ascii="宋体" w:hAnsi="宋体" w:cs="宋体"/>
                <w:color w:val="000000"/>
                <w:kern w:val="0"/>
                <w:sz w:val="30"/>
                <w:szCs w:val="30"/>
              </w:rPr>
              <w:lastRenderedPageBreak/>
              <w:t>九、国有资本经营预算财政拨款支出决算表</w:t>
            </w:r>
          </w:p>
        </w:tc>
      </w:tr>
      <w:tr w:rsidR="00B87C8A">
        <w:trPr>
          <w:trHeight w:val="264"/>
        </w:trPr>
        <w:tc>
          <w:tcPr>
            <w:tcW w:w="2328"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19"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19"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554"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748"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664"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36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公开09表</w:t>
            </w:r>
          </w:p>
        </w:tc>
      </w:tr>
      <w:tr w:rsidR="00B87C8A">
        <w:trPr>
          <w:trHeight w:val="264"/>
        </w:trPr>
        <w:tc>
          <w:tcPr>
            <w:tcW w:w="2328" w:type="dxa"/>
            <w:tcBorders>
              <w:top w:val="nil"/>
              <w:left w:val="nil"/>
              <w:bottom w:val="nil"/>
              <w:right w:val="nil"/>
              <w:tl2br w:val="nil"/>
              <w:tr2bl w:val="nil"/>
            </w:tcBorders>
            <w:noWrap/>
            <w:vAlign w:val="bottom"/>
          </w:tcPr>
          <w:p w:rsidR="00B87C8A" w:rsidRDefault="002D1C8A">
            <w:pPr>
              <w:widowControl/>
              <w:ind w:firstLine="0"/>
              <w:jc w:val="left"/>
              <w:textAlignment w:val="bottom"/>
              <w:rPr>
                <w:rFonts w:ascii="宋体" w:hAnsi="宋体" w:cs="宋体" w:hint="default"/>
                <w:color w:val="000000"/>
                <w:sz w:val="20"/>
                <w:szCs w:val="20"/>
              </w:rPr>
            </w:pPr>
            <w:r>
              <w:rPr>
                <w:rFonts w:ascii="宋体" w:hAnsi="宋体" w:cs="宋体"/>
                <w:color w:val="000000"/>
                <w:kern w:val="0"/>
                <w:sz w:val="20"/>
                <w:szCs w:val="20"/>
              </w:rPr>
              <w:t>部门：吉首大学</w:t>
            </w:r>
          </w:p>
        </w:tc>
        <w:tc>
          <w:tcPr>
            <w:tcW w:w="319"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19"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554"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748"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2664" w:type="dxa"/>
            <w:tcBorders>
              <w:top w:val="nil"/>
              <w:left w:val="nil"/>
              <w:bottom w:val="nil"/>
              <w:right w:val="nil"/>
              <w:tl2br w:val="nil"/>
              <w:tr2bl w:val="nil"/>
            </w:tcBorders>
            <w:noWrap/>
            <w:vAlign w:val="bottom"/>
          </w:tcPr>
          <w:p w:rsidR="00B87C8A" w:rsidRDefault="00B87C8A">
            <w:pPr>
              <w:widowControl/>
              <w:ind w:firstLine="0"/>
              <w:rPr>
                <w:rFonts w:ascii="Arial" w:hAnsi="Arial" w:cs="Arial" w:hint="default"/>
                <w:color w:val="000000"/>
                <w:sz w:val="20"/>
                <w:szCs w:val="20"/>
              </w:rPr>
            </w:pPr>
          </w:p>
        </w:tc>
        <w:tc>
          <w:tcPr>
            <w:tcW w:w="3360" w:type="dxa"/>
            <w:tcBorders>
              <w:top w:val="nil"/>
              <w:left w:val="nil"/>
              <w:bottom w:val="nil"/>
              <w:right w:val="nil"/>
              <w:tl2br w:val="nil"/>
              <w:tr2bl w:val="nil"/>
            </w:tcBorders>
            <w:noWrap/>
            <w:vAlign w:val="bottom"/>
          </w:tcPr>
          <w:p w:rsidR="00B87C8A" w:rsidRDefault="002D1C8A">
            <w:pPr>
              <w:widowControl/>
              <w:ind w:firstLine="0"/>
              <w:jc w:val="right"/>
              <w:textAlignment w:val="bottom"/>
              <w:rPr>
                <w:rFonts w:ascii="宋体" w:hAnsi="宋体" w:cs="宋体" w:hint="default"/>
                <w:color w:val="000000"/>
                <w:sz w:val="20"/>
                <w:szCs w:val="20"/>
              </w:rPr>
            </w:pPr>
            <w:r>
              <w:rPr>
                <w:rFonts w:ascii="宋体" w:hAnsi="宋体" w:cs="宋体"/>
                <w:color w:val="000000"/>
                <w:kern w:val="0"/>
                <w:sz w:val="20"/>
                <w:szCs w:val="20"/>
              </w:rPr>
              <w:t>金额单位：万元</w:t>
            </w:r>
          </w:p>
        </w:tc>
      </w:tr>
      <w:tr w:rsidR="00B87C8A">
        <w:trPr>
          <w:trHeight w:val="417"/>
        </w:trPr>
        <w:tc>
          <w:tcPr>
            <w:tcW w:w="6520"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w:t>
            </w:r>
          </w:p>
        </w:tc>
        <w:tc>
          <w:tcPr>
            <w:tcW w:w="8772"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本年支出</w:t>
            </w:r>
          </w:p>
        </w:tc>
      </w:tr>
      <w:tr w:rsidR="00B87C8A">
        <w:trPr>
          <w:trHeight w:val="308"/>
        </w:trPr>
        <w:tc>
          <w:tcPr>
            <w:tcW w:w="2966"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功能分类科目编码</w:t>
            </w:r>
          </w:p>
        </w:tc>
        <w:tc>
          <w:tcPr>
            <w:tcW w:w="355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科目名称</w:t>
            </w:r>
          </w:p>
        </w:tc>
        <w:tc>
          <w:tcPr>
            <w:tcW w:w="274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266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基本支出</w:t>
            </w:r>
          </w:p>
        </w:tc>
        <w:tc>
          <w:tcPr>
            <w:tcW w:w="336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项目支出</w:t>
            </w:r>
          </w:p>
        </w:tc>
      </w:tr>
      <w:tr w:rsidR="00B87C8A">
        <w:trPr>
          <w:trHeight w:val="308"/>
        </w:trPr>
        <w:tc>
          <w:tcPr>
            <w:tcW w:w="2966"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55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74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66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3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15"/>
        </w:trPr>
        <w:tc>
          <w:tcPr>
            <w:tcW w:w="2966"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55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74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266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c>
          <w:tcPr>
            <w:tcW w:w="33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2"/>
              </w:rPr>
            </w:pPr>
          </w:p>
        </w:tc>
      </w:tr>
      <w:tr w:rsidR="00B87C8A">
        <w:trPr>
          <w:trHeight w:val="308"/>
        </w:trPr>
        <w:tc>
          <w:tcPr>
            <w:tcW w:w="65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bottom"/>
          </w:tcPr>
          <w:p w:rsidR="00B87C8A" w:rsidRDefault="002D1C8A">
            <w:pPr>
              <w:widowControl/>
              <w:ind w:firstLine="0"/>
              <w:jc w:val="center"/>
              <w:textAlignment w:val="bottom"/>
              <w:rPr>
                <w:rFonts w:ascii="宋体" w:hAnsi="宋体" w:cs="宋体" w:hint="default"/>
                <w:color w:val="000000"/>
                <w:sz w:val="22"/>
              </w:rPr>
            </w:pPr>
            <w:r>
              <w:rPr>
                <w:rFonts w:ascii="宋体" w:hAnsi="宋体" w:cs="宋体"/>
                <w:color w:val="000000"/>
                <w:kern w:val="0"/>
                <w:sz w:val="22"/>
              </w:rPr>
              <w:t>栏次</w:t>
            </w:r>
          </w:p>
        </w:tc>
        <w:tc>
          <w:tcPr>
            <w:tcW w:w="274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3</w:t>
            </w:r>
          </w:p>
        </w:tc>
        <w:tc>
          <w:tcPr>
            <w:tcW w:w="266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widowControl/>
              <w:ind w:firstLine="0"/>
              <w:jc w:val="center"/>
              <w:rPr>
                <w:rFonts w:ascii="宋体" w:hAnsi="宋体" w:cs="宋体" w:hint="default"/>
                <w:color w:val="000000"/>
                <w:sz w:val="20"/>
                <w:szCs w:val="20"/>
              </w:rPr>
            </w:pPr>
          </w:p>
        </w:tc>
      </w:tr>
      <w:tr w:rsidR="00B87C8A">
        <w:trPr>
          <w:trHeight w:val="308"/>
        </w:trPr>
        <w:tc>
          <w:tcPr>
            <w:tcW w:w="65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widowControl/>
              <w:ind w:firstLine="0"/>
              <w:jc w:val="center"/>
              <w:textAlignment w:val="center"/>
              <w:rPr>
                <w:rFonts w:ascii="宋体" w:hAnsi="宋体" w:cs="宋体" w:hint="default"/>
                <w:color w:val="000000"/>
                <w:sz w:val="22"/>
              </w:rPr>
            </w:pPr>
            <w:r>
              <w:rPr>
                <w:rFonts w:ascii="宋体" w:hAnsi="宋体" w:cs="宋体"/>
                <w:color w:val="000000"/>
                <w:kern w:val="0"/>
                <w:sz w:val="22"/>
              </w:rPr>
              <w:t>合计</w:t>
            </w: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b/>
                <w:color w:val="000000"/>
                <w:sz w:val="20"/>
                <w:szCs w:val="20"/>
              </w:rPr>
            </w:pPr>
          </w:p>
        </w:tc>
      </w:tr>
      <w:tr w:rsidR="00B87C8A">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r>
      <w:tr w:rsidR="00B87C8A">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r>
      <w:tr w:rsidR="00B87C8A">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r>
      <w:tr w:rsidR="00B87C8A">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r>
      <w:tr w:rsidR="00B87C8A">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r>
      <w:tr w:rsidR="00B87C8A">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c>
          <w:tcPr>
            <w:tcW w:w="3360" w:type="dxa"/>
            <w:tcBorders>
              <w:top w:val="nil"/>
              <w:left w:val="nil"/>
              <w:bottom w:val="single" w:sz="4" w:space="0" w:color="000000"/>
              <w:right w:val="single" w:sz="4" w:space="0" w:color="000000"/>
              <w:tl2br w:val="nil"/>
              <w:tr2bl w:val="nil"/>
            </w:tcBorders>
            <w:noWrap/>
            <w:vAlign w:val="center"/>
          </w:tcPr>
          <w:p w:rsidR="00B87C8A" w:rsidRDefault="00B87C8A">
            <w:pPr>
              <w:widowControl/>
              <w:ind w:firstLine="0"/>
              <w:jc w:val="right"/>
              <w:rPr>
                <w:rFonts w:ascii="宋体" w:hAnsi="宋体" w:cs="宋体" w:hint="default"/>
                <w:color w:val="000000"/>
                <w:sz w:val="20"/>
                <w:szCs w:val="20"/>
              </w:rPr>
            </w:pPr>
          </w:p>
        </w:tc>
      </w:tr>
      <w:tr w:rsidR="00B87C8A">
        <w:trPr>
          <w:trHeight w:val="308"/>
        </w:trPr>
        <w:tc>
          <w:tcPr>
            <w:tcW w:w="9268" w:type="dxa"/>
            <w:gridSpan w:val="5"/>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2"/>
              </w:rPr>
            </w:pPr>
            <w:r>
              <w:rPr>
                <w:rFonts w:ascii="宋体" w:hAnsi="宋体" w:cs="宋体"/>
                <w:color w:val="000000"/>
                <w:kern w:val="0"/>
                <w:sz w:val="22"/>
              </w:rPr>
              <w:t>注：本表反映部门本年度国有资本经营预算财政拨款收入、支出及结转和结余情况。</w:t>
            </w:r>
          </w:p>
        </w:tc>
        <w:tc>
          <w:tcPr>
            <w:tcW w:w="2664" w:type="dxa"/>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0"/>
                <w:szCs w:val="20"/>
              </w:rPr>
            </w:pPr>
          </w:p>
        </w:tc>
        <w:tc>
          <w:tcPr>
            <w:tcW w:w="3360" w:type="dxa"/>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0"/>
                <w:szCs w:val="20"/>
              </w:rPr>
            </w:pPr>
          </w:p>
        </w:tc>
      </w:tr>
      <w:tr w:rsidR="00B87C8A">
        <w:trPr>
          <w:trHeight w:val="308"/>
        </w:trPr>
        <w:tc>
          <w:tcPr>
            <w:tcW w:w="2328" w:type="dxa"/>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6940" w:type="dxa"/>
            <w:gridSpan w:val="4"/>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2"/>
              </w:rPr>
            </w:pPr>
          </w:p>
        </w:tc>
        <w:tc>
          <w:tcPr>
            <w:tcW w:w="2664" w:type="dxa"/>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0"/>
                <w:szCs w:val="20"/>
              </w:rPr>
            </w:pPr>
          </w:p>
        </w:tc>
        <w:tc>
          <w:tcPr>
            <w:tcW w:w="3360" w:type="dxa"/>
            <w:tcBorders>
              <w:top w:val="nil"/>
              <w:left w:val="nil"/>
              <w:bottom w:val="nil"/>
              <w:right w:val="nil"/>
              <w:tl2br w:val="nil"/>
              <w:tr2bl w:val="nil"/>
            </w:tcBorders>
            <w:noWrap/>
            <w:vAlign w:val="center"/>
          </w:tcPr>
          <w:p w:rsidR="00B87C8A" w:rsidRDefault="00B87C8A">
            <w:pPr>
              <w:widowControl/>
              <w:ind w:firstLine="0"/>
              <w:jc w:val="left"/>
              <w:rPr>
                <w:rFonts w:ascii="宋体" w:hAnsi="宋体" w:cs="宋体" w:hint="default"/>
                <w:color w:val="000000"/>
                <w:sz w:val="20"/>
                <w:szCs w:val="20"/>
              </w:rPr>
            </w:pPr>
          </w:p>
        </w:tc>
      </w:tr>
      <w:tr w:rsidR="00B87C8A">
        <w:trPr>
          <w:trHeight w:val="308"/>
        </w:trPr>
        <w:tc>
          <w:tcPr>
            <w:tcW w:w="15292" w:type="dxa"/>
            <w:gridSpan w:val="7"/>
            <w:tcBorders>
              <w:top w:val="nil"/>
              <w:left w:val="nil"/>
              <w:bottom w:val="nil"/>
              <w:right w:val="nil"/>
              <w:tl2br w:val="nil"/>
              <w:tr2bl w:val="nil"/>
            </w:tcBorders>
            <w:noWrap/>
            <w:vAlign w:val="center"/>
          </w:tcPr>
          <w:p w:rsidR="00B87C8A" w:rsidRDefault="002D1C8A">
            <w:pPr>
              <w:widowControl/>
              <w:ind w:firstLine="0"/>
              <w:jc w:val="left"/>
              <w:textAlignment w:val="center"/>
              <w:rPr>
                <w:rFonts w:ascii="宋体" w:hAnsi="宋体" w:cs="宋体" w:hint="default"/>
                <w:color w:val="000000"/>
                <w:sz w:val="20"/>
                <w:szCs w:val="20"/>
              </w:rPr>
            </w:pPr>
            <w:r>
              <w:rPr>
                <w:rFonts w:ascii="宋体" w:hAnsi="宋体" w:cs="宋体"/>
                <w:color w:val="000000"/>
                <w:kern w:val="0"/>
                <w:sz w:val="20"/>
                <w:szCs w:val="20"/>
              </w:rPr>
              <w:t>说明：我单位没有国有资本经营收入，也没有使用国有资本经营安排的支出，故本表无数据。</w:t>
            </w:r>
          </w:p>
        </w:tc>
      </w:tr>
    </w:tbl>
    <w:p w:rsidR="00B87C8A" w:rsidRDefault="00B87C8A">
      <w:pPr>
        <w:widowControl/>
        <w:spacing w:line="600" w:lineRule="exact"/>
        <w:ind w:firstLine="0"/>
        <w:jc w:val="center"/>
        <w:rPr>
          <w:rFonts w:ascii="黑体" w:eastAsia="黑体" w:hAnsi="Times New Roman" w:cs="黑体" w:hint="default"/>
          <w:sz w:val="32"/>
          <w:szCs w:val="32"/>
        </w:rPr>
        <w:sectPr w:rsidR="00B87C8A">
          <w:pgSz w:w="16838" w:h="11906" w:orient="landscape"/>
          <w:pgMar w:top="720" w:right="873" w:bottom="720" w:left="720" w:header="720" w:footer="720" w:gutter="0"/>
          <w:cols w:space="720"/>
        </w:sectPr>
      </w:pPr>
    </w:p>
    <w:p w:rsidR="00B87C8A" w:rsidRDefault="00B87C8A">
      <w:pPr>
        <w:widowControl/>
        <w:ind w:firstLine="0"/>
        <w:jc w:val="center"/>
        <w:rPr>
          <w:rFonts w:ascii="黑体" w:eastAsia="黑体" w:hAnsi="Times New Roman" w:cs="黑体" w:hint="default"/>
          <w:sz w:val="84"/>
          <w:szCs w:val="84"/>
        </w:rPr>
      </w:pPr>
    </w:p>
    <w:p w:rsidR="00B87C8A" w:rsidRDefault="00B87C8A">
      <w:pPr>
        <w:widowControl/>
        <w:ind w:firstLine="0"/>
        <w:jc w:val="center"/>
        <w:rPr>
          <w:rFonts w:ascii="黑体" w:eastAsia="黑体" w:hAnsi="Times New Roman" w:cs="黑体" w:hint="default"/>
          <w:sz w:val="84"/>
          <w:szCs w:val="84"/>
        </w:rPr>
      </w:pPr>
    </w:p>
    <w:p w:rsidR="00B87C8A" w:rsidRDefault="00B87C8A">
      <w:pPr>
        <w:widowControl/>
        <w:ind w:firstLine="0"/>
        <w:jc w:val="center"/>
        <w:rPr>
          <w:rFonts w:ascii="黑体" w:eastAsia="黑体" w:hAnsi="Times New Roman" w:cs="黑体" w:hint="default"/>
          <w:sz w:val="56"/>
          <w:szCs w:val="56"/>
        </w:rPr>
      </w:pPr>
    </w:p>
    <w:p w:rsidR="00B87C8A" w:rsidRDefault="00B87C8A">
      <w:pPr>
        <w:widowControl/>
        <w:ind w:firstLine="0"/>
        <w:jc w:val="center"/>
        <w:rPr>
          <w:rFonts w:ascii="黑体" w:eastAsia="黑体" w:hAnsi="Times New Roman" w:cs="黑体" w:hint="default"/>
          <w:sz w:val="84"/>
          <w:szCs w:val="84"/>
        </w:rPr>
      </w:pPr>
    </w:p>
    <w:p w:rsidR="00B87C8A" w:rsidRDefault="002D1C8A">
      <w:pPr>
        <w:widowControl/>
        <w:ind w:firstLine="0"/>
        <w:jc w:val="center"/>
        <w:rPr>
          <w:rFonts w:ascii="黑体" w:eastAsia="黑体" w:hAnsi="Times New Roman" w:cs="黑体" w:hint="default"/>
          <w:sz w:val="84"/>
          <w:szCs w:val="84"/>
        </w:rPr>
      </w:pPr>
      <w:r>
        <w:rPr>
          <w:rFonts w:ascii="黑体" w:eastAsia="黑体" w:hAnsi="Times New Roman" w:cs="黑体"/>
          <w:sz w:val="84"/>
          <w:szCs w:val="84"/>
        </w:rPr>
        <w:t>第三部分</w:t>
      </w:r>
    </w:p>
    <w:p w:rsidR="00B87C8A" w:rsidRDefault="002D1C8A" w:rsidP="003F0F38">
      <w:pPr>
        <w:widowControl/>
        <w:spacing w:beforeLines="100"/>
        <w:ind w:firstLine="0"/>
        <w:jc w:val="center"/>
        <w:rPr>
          <w:rFonts w:ascii="宋体" w:hint="default"/>
          <w:kern w:val="0"/>
          <w:sz w:val="84"/>
          <w:szCs w:val="84"/>
        </w:rPr>
      </w:pPr>
      <w:r>
        <w:rPr>
          <w:rFonts w:ascii="黑体" w:eastAsia="黑体" w:hAnsi="Times New Roman" w:cs="黑体"/>
          <w:sz w:val="84"/>
          <w:szCs w:val="84"/>
          <w:lang w:val="zh-CN"/>
        </w:rPr>
        <w:t>吉首大学</w:t>
      </w:r>
      <w:r>
        <w:rPr>
          <w:rFonts w:ascii="黑体" w:eastAsia="黑体" w:hAnsi="Times New Roman" w:cs="黑体"/>
          <w:sz w:val="84"/>
          <w:szCs w:val="84"/>
        </w:rPr>
        <w:t>2021年度部门决算情况说明</w:t>
      </w:r>
    </w:p>
    <w:p w:rsidR="00B87C8A" w:rsidRDefault="00B87C8A">
      <w:pPr>
        <w:widowControl/>
        <w:ind w:firstLine="0"/>
        <w:rPr>
          <w:rFonts w:ascii="黑体" w:eastAsia="黑体" w:hAnsi="Times New Roman" w:cs="黑体" w:hint="default"/>
          <w:sz w:val="32"/>
          <w:szCs w:val="32"/>
          <w:lang w:val="zh-CN"/>
        </w:rPr>
        <w:sectPr w:rsidR="00B87C8A">
          <w:pgSz w:w="12240" w:h="15840"/>
          <w:pgMar w:top="1440" w:right="1800" w:bottom="1440" w:left="1800" w:header="720" w:footer="720" w:gutter="0"/>
          <w:cols w:space="720"/>
        </w:sectPr>
      </w:pPr>
    </w:p>
    <w:p w:rsidR="00B87C8A" w:rsidRDefault="002D1C8A">
      <w:pPr>
        <w:widowControl/>
        <w:spacing w:line="360" w:lineRule="auto"/>
        <w:ind w:firstLineChars="200" w:firstLine="640"/>
        <w:rPr>
          <w:rFonts w:ascii="宋体" w:hint="default"/>
          <w:kern w:val="0"/>
          <w:sz w:val="32"/>
          <w:szCs w:val="32"/>
        </w:rPr>
      </w:pPr>
      <w:r>
        <w:rPr>
          <w:rFonts w:ascii="黑体" w:eastAsia="黑体" w:hAnsi="Times New Roman" w:cs="黑体"/>
          <w:sz w:val="32"/>
          <w:szCs w:val="32"/>
          <w:lang w:val="zh-CN"/>
        </w:rPr>
        <w:lastRenderedPageBreak/>
        <w:t>一、收入支出决算总体情况说明</w:t>
      </w:r>
    </w:p>
    <w:p w:rsidR="00B87C8A" w:rsidRDefault="002D1C8A">
      <w:pPr>
        <w:widowControl/>
        <w:spacing w:line="360" w:lineRule="auto"/>
        <w:ind w:firstLineChars="200" w:firstLine="560"/>
        <w:rPr>
          <w:rFonts w:ascii="宋体" w:hint="default"/>
          <w:kern w:val="0"/>
          <w:sz w:val="32"/>
          <w:szCs w:val="32"/>
        </w:rPr>
      </w:pPr>
      <w:r>
        <w:rPr>
          <w:rFonts w:ascii="宋体" w:hAnsi="宋体" w:cs="宋体"/>
          <w:sz w:val="28"/>
          <w:szCs w:val="28"/>
          <w:lang w:val="zh-CN"/>
        </w:rPr>
        <w:t>2021年度收、支（含结转和结余）总计均为78776.81万元，与2020年相比，收、支总计各增加19629.18万元，增长33.19%</w:t>
      </w:r>
      <w:r w:rsidR="003F0F38">
        <w:rPr>
          <w:rFonts w:ascii="宋体" w:hAnsi="宋体" w:cs="宋体"/>
          <w:sz w:val="28"/>
          <w:szCs w:val="28"/>
          <w:lang w:val="zh-CN"/>
        </w:rPr>
        <w:t>。主要原因是三本独立学院转设</w:t>
      </w:r>
      <w:r>
        <w:rPr>
          <w:rFonts w:ascii="宋体" w:hAnsi="宋体" w:cs="宋体"/>
          <w:sz w:val="28"/>
          <w:szCs w:val="28"/>
          <w:lang w:val="zh-CN"/>
        </w:rPr>
        <w:t>资金17065万元以国库指标形式划拨到账；2020年受疫情影响，学生在9月份后才返校学习，住宿费收入、国有资源有偿使用收入及其他经费拨款较2021年减少。</w:t>
      </w:r>
    </w:p>
    <w:p w:rsidR="00B87C8A" w:rsidRDefault="002D1C8A">
      <w:pPr>
        <w:widowControl/>
        <w:spacing w:line="360" w:lineRule="auto"/>
        <w:ind w:firstLineChars="200" w:firstLine="640"/>
        <w:rPr>
          <w:rFonts w:ascii="宋体" w:hint="default"/>
          <w:kern w:val="0"/>
          <w:sz w:val="32"/>
          <w:szCs w:val="32"/>
        </w:rPr>
      </w:pPr>
      <w:r>
        <w:rPr>
          <w:rFonts w:ascii="黑体" w:eastAsia="黑体" w:hAnsi="Times New Roman" w:cs="黑体"/>
          <w:sz w:val="32"/>
          <w:szCs w:val="32"/>
        </w:rPr>
        <w:t>二、收入决算情况说明</w:t>
      </w:r>
    </w:p>
    <w:p w:rsidR="00B87C8A" w:rsidRPr="002D1C8A" w:rsidRDefault="002D1C8A" w:rsidP="002D1C8A">
      <w:pPr>
        <w:widowControl/>
        <w:spacing w:line="360" w:lineRule="auto"/>
        <w:ind w:firstLineChars="200" w:firstLine="560"/>
        <w:rPr>
          <w:rFonts w:ascii="宋体" w:hAnsi="宋体" w:cs="宋体" w:hint="default"/>
          <w:sz w:val="28"/>
          <w:szCs w:val="28"/>
          <w:lang w:val="zh-CN"/>
        </w:rPr>
      </w:pPr>
      <w:r w:rsidRPr="002D1C8A">
        <w:rPr>
          <w:rFonts w:ascii="宋体" w:hAnsi="宋体" w:cs="宋体"/>
          <w:sz w:val="28"/>
          <w:szCs w:val="28"/>
          <w:lang w:val="zh-CN"/>
        </w:rPr>
        <w:t>2021年度收入合计70096.6万元，其中：一般公共预算财政拨款收入54107.59万元，占77.19%；事业收入13125.34万元，</w:t>
      </w:r>
      <w:r w:rsidRPr="003F0F38">
        <w:rPr>
          <w:rFonts w:ascii="宋体" w:hAnsi="宋体" w:cs="宋体"/>
          <w:sz w:val="28"/>
          <w:szCs w:val="28"/>
          <w:lang w:val="zh-CN"/>
        </w:rPr>
        <w:t>占</w:t>
      </w:r>
      <w:r w:rsidR="003F0F38" w:rsidRPr="003F0F38">
        <w:rPr>
          <w:rFonts w:ascii="宋体" w:hAnsi="宋体" w:cs="宋体"/>
          <w:sz w:val="28"/>
          <w:szCs w:val="28"/>
          <w:lang w:val="zh-CN"/>
        </w:rPr>
        <w:t>18.72</w:t>
      </w:r>
      <w:r w:rsidRPr="003F0F38">
        <w:rPr>
          <w:rFonts w:ascii="宋体" w:hAnsi="宋体" w:cs="宋体"/>
          <w:sz w:val="28"/>
          <w:szCs w:val="28"/>
          <w:lang w:val="zh-CN"/>
        </w:rPr>
        <w:t>%</w:t>
      </w:r>
      <w:r w:rsidRPr="002D1C8A">
        <w:rPr>
          <w:rFonts w:ascii="宋体" w:hAnsi="宋体" w:cs="宋体"/>
          <w:sz w:val="28"/>
          <w:szCs w:val="28"/>
          <w:lang w:val="zh-CN"/>
        </w:rPr>
        <w:t>；其他收入2863.67万元，占4.09%。</w:t>
      </w:r>
    </w:p>
    <w:p w:rsidR="00B87C8A" w:rsidRDefault="002D1C8A">
      <w:pPr>
        <w:widowControl/>
        <w:spacing w:line="360" w:lineRule="auto"/>
        <w:ind w:firstLineChars="200" w:firstLine="640"/>
        <w:rPr>
          <w:rFonts w:ascii="黑体" w:eastAsia="黑体" w:hAnsi="Times New Roman" w:cs="黑体" w:hint="default"/>
          <w:sz w:val="32"/>
          <w:szCs w:val="32"/>
        </w:rPr>
      </w:pPr>
      <w:r>
        <w:rPr>
          <w:rFonts w:ascii="黑体" w:eastAsia="黑体" w:hAnsi="Times New Roman" w:cs="黑体"/>
          <w:sz w:val="32"/>
          <w:szCs w:val="32"/>
        </w:rPr>
        <w:t>三、支出决算情况说明</w:t>
      </w:r>
    </w:p>
    <w:p w:rsidR="00B87C8A" w:rsidRPr="002D1C8A" w:rsidRDefault="002D1C8A" w:rsidP="002D1C8A">
      <w:pPr>
        <w:widowControl/>
        <w:spacing w:line="360" w:lineRule="auto"/>
        <w:ind w:firstLineChars="200" w:firstLine="560"/>
        <w:rPr>
          <w:rFonts w:ascii="宋体" w:hint="default"/>
          <w:kern w:val="0"/>
          <w:sz w:val="28"/>
          <w:szCs w:val="28"/>
        </w:rPr>
      </w:pPr>
      <w:r w:rsidRPr="002D1C8A">
        <w:rPr>
          <w:rFonts w:ascii="宋体" w:hAnsi="Times New Roman" w:cs="宋体"/>
          <w:sz w:val="28"/>
          <w:szCs w:val="28"/>
        </w:rPr>
        <w:t>2021年度支出合计60963.33万元，其中：基本支出</w:t>
      </w:r>
      <w:r w:rsidRPr="002D1C8A">
        <w:rPr>
          <w:rFonts w:ascii="宋体" w:hAnsi="Times New Roman" w:cs="宋体"/>
          <w:sz w:val="28"/>
          <w:szCs w:val="28"/>
          <w:lang w:val="zh-CN"/>
        </w:rPr>
        <w:t>39389.1万元，</w:t>
      </w:r>
      <w:r w:rsidRPr="002D1C8A">
        <w:rPr>
          <w:rFonts w:ascii="宋体" w:hAnsi="Times New Roman" w:cs="宋体"/>
          <w:sz w:val="28"/>
          <w:szCs w:val="28"/>
        </w:rPr>
        <w:t>占64.61%；项目支出21574.23万元，占35.39%。</w:t>
      </w:r>
    </w:p>
    <w:p w:rsidR="00B87C8A" w:rsidRDefault="002D1C8A">
      <w:pPr>
        <w:widowControl/>
        <w:spacing w:line="360" w:lineRule="auto"/>
        <w:ind w:firstLineChars="200" w:firstLine="640"/>
        <w:rPr>
          <w:rFonts w:ascii="宋体" w:hint="default"/>
          <w:kern w:val="0"/>
          <w:sz w:val="32"/>
          <w:szCs w:val="32"/>
        </w:rPr>
      </w:pPr>
      <w:r>
        <w:rPr>
          <w:rFonts w:ascii="黑体" w:eastAsia="黑体" w:hAnsi="Times New Roman" w:cs="黑体"/>
          <w:sz w:val="32"/>
          <w:szCs w:val="32"/>
        </w:rPr>
        <w:t xml:space="preserve">四、财政拨款收入支出决算总体情况说明 </w:t>
      </w:r>
    </w:p>
    <w:p w:rsidR="00B87C8A" w:rsidRPr="002D1C8A" w:rsidRDefault="002D1C8A" w:rsidP="002D1C8A">
      <w:pPr>
        <w:widowControl/>
        <w:spacing w:line="360" w:lineRule="auto"/>
        <w:ind w:firstLineChars="200" w:firstLine="560"/>
        <w:rPr>
          <w:rFonts w:ascii="宋体" w:hint="default"/>
          <w:kern w:val="0"/>
          <w:sz w:val="28"/>
          <w:szCs w:val="28"/>
        </w:rPr>
      </w:pPr>
      <w:r w:rsidRPr="002D1C8A">
        <w:rPr>
          <w:rFonts w:ascii="宋体" w:hAnsi="Times New Roman" w:cs="宋体"/>
          <w:sz w:val="28"/>
          <w:szCs w:val="28"/>
        </w:rPr>
        <w:t>2021年度财政拨款收、支</w:t>
      </w:r>
      <w:r w:rsidRPr="002D1C8A">
        <w:rPr>
          <w:rFonts w:ascii="宋体" w:hAnsi="宋体" w:cs="宋体"/>
          <w:sz w:val="28"/>
          <w:szCs w:val="28"/>
          <w:lang w:val="zh-CN"/>
        </w:rPr>
        <w:t>（含结转和结余）</w:t>
      </w:r>
      <w:r w:rsidRPr="002D1C8A">
        <w:rPr>
          <w:rFonts w:ascii="宋体" w:hAnsi="Times New Roman" w:cs="宋体"/>
          <w:sz w:val="28"/>
          <w:szCs w:val="28"/>
        </w:rPr>
        <w:t>总计均为55028.4万元，</w:t>
      </w:r>
      <w:r w:rsidRPr="002D1C8A">
        <w:rPr>
          <w:rFonts w:ascii="宋体" w:hAnsi="Times New Roman" w:cs="宋体"/>
          <w:sz w:val="28"/>
          <w:szCs w:val="28"/>
          <w:lang w:val="zh-CN"/>
        </w:rPr>
        <w:t>与2020年相比，</w:t>
      </w:r>
      <w:r w:rsidRPr="002D1C8A">
        <w:rPr>
          <w:rFonts w:ascii="宋体" w:hAnsi="Times New Roman" w:cs="宋体"/>
          <w:sz w:val="28"/>
          <w:szCs w:val="28"/>
        </w:rPr>
        <w:t>财政拨款收、支总计各增加17342.79万元，增长46.02%。</w:t>
      </w:r>
      <w:r w:rsidRPr="002D1C8A">
        <w:rPr>
          <w:rFonts w:ascii="宋体" w:hAnsi="Times New Roman" w:cs="宋体"/>
          <w:sz w:val="28"/>
          <w:szCs w:val="28"/>
          <w:lang w:val="zh-CN"/>
        </w:rPr>
        <w:t>主要原因是</w:t>
      </w:r>
      <w:r w:rsidR="003F0F38">
        <w:rPr>
          <w:rFonts w:ascii="宋体" w:hAnsi="宋体" w:cs="宋体"/>
          <w:sz w:val="28"/>
          <w:szCs w:val="28"/>
          <w:lang w:val="zh-CN"/>
        </w:rPr>
        <w:t>三本独立学院转设</w:t>
      </w:r>
      <w:r w:rsidRPr="002D1C8A">
        <w:rPr>
          <w:rFonts w:ascii="宋体" w:hAnsi="宋体" w:cs="宋体"/>
          <w:sz w:val="28"/>
          <w:szCs w:val="28"/>
          <w:lang w:val="zh-CN"/>
        </w:rPr>
        <w:t>资金17065万元以国库指标形式划拨到账</w:t>
      </w:r>
      <w:r w:rsidRPr="002D1C8A">
        <w:rPr>
          <w:rFonts w:ascii="宋体" w:hAnsi="Times New Roman" w:cs="宋体"/>
          <w:sz w:val="28"/>
          <w:szCs w:val="28"/>
          <w:lang w:val="zh-CN"/>
        </w:rPr>
        <w:t>。</w:t>
      </w:r>
    </w:p>
    <w:p w:rsidR="00B87C8A" w:rsidRDefault="002D1C8A">
      <w:pPr>
        <w:widowControl/>
        <w:spacing w:line="360" w:lineRule="auto"/>
        <w:ind w:firstLineChars="200" w:firstLine="640"/>
        <w:rPr>
          <w:rFonts w:ascii="宋体" w:hint="default"/>
          <w:kern w:val="0"/>
          <w:sz w:val="32"/>
          <w:szCs w:val="32"/>
        </w:rPr>
      </w:pPr>
      <w:r>
        <w:rPr>
          <w:rFonts w:ascii="黑体" w:eastAsia="黑体" w:hAnsi="Times New Roman" w:cs="黑体"/>
          <w:sz w:val="32"/>
          <w:szCs w:val="32"/>
        </w:rPr>
        <w:t>五、一般公共预算财政拨款支出决算情况说明</w:t>
      </w:r>
    </w:p>
    <w:p w:rsidR="00B87C8A" w:rsidRDefault="002D1C8A">
      <w:pPr>
        <w:widowControl/>
        <w:spacing w:line="360" w:lineRule="auto"/>
        <w:ind w:firstLineChars="200" w:firstLine="562"/>
        <w:rPr>
          <w:rFonts w:ascii="宋体" w:hint="default"/>
          <w:kern w:val="0"/>
          <w:sz w:val="28"/>
          <w:szCs w:val="28"/>
        </w:rPr>
      </w:pPr>
      <w:r>
        <w:rPr>
          <w:rFonts w:ascii="宋体" w:hAnsi="Times New Roman" w:cs="宋体"/>
          <w:b/>
          <w:sz w:val="28"/>
          <w:szCs w:val="28"/>
        </w:rPr>
        <w:t>（一）</w:t>
      </w:r>
      <w:r>
        <w:rPr>
          <w:rFonts w:ascii="宋体" w:hAnsi="Times New Roman" w:cs="宋体"/>
          <w:b/>
          <w:sz w:val="28"/>
          <w:szCs w:val="28"/>
          <w:lang w:val="zh-CN"/>
        </w:rPr>
        <w:t>财政</w:t>
      </w:r>
      <w:r>
        <w:rPr>
          <w:rFonts w:ascii="宋体" w:hAnsi="Times New Roman" w:cs="宋体"/>
          <w:b/>
          <w:sz w:val="28"/>
          <w:szCs w:val="28"/>
        </w:rPr>
        <w:t>拨款支出决算总体情况</w:t>
      </w:r>
    </w:p>
    <w:p w:rsidR="00B87C8A" w:rsidRPr="002D1C8A" w:rsidRDefault="002D1C8A" w:rsidP="002D1C8A">
      <w:pPr>
        <w:widowControl/>
        <w:spacing w:line="360" w:lineRule="auto"/>
        <w:ind w:firstLineChars="200" w:firstLine="560"/>
        <w:rPr>
          <w:rFonts w:ascii="宋体" w:hint="default"/>
          <w:kern w:val="0"/>
          <w:sz w:val="28"/>
          <w:szCs w:val="28"/>
        </w:rPr>
      </w:pPr>
      <w:r w:rsidRPr="002D1C8A">
        <w:rPr>
          <w:rFonts w:ascii="宋体" w:hAnsi="Times New Roman" w:cs="宋体"/>
          <w:sz w:val="28"/>
          <w:szCs w:val="28"/>
        </w:rPr>
        <w:t>2021年度财政拨款支出37214.92万元，占本年支出合计的61.04%。与2020年度相比，财政拨款支出增加515万元，增长1.4%,主要原因是2021年度教学、教辅及科研活动正常开展，相关支出增加，而2020年9月份</w:t>
      </w:r>
      <w:r w:rsidRPr="002D1C8A">
        <w:rPr>
          <w:rFonts w:ascii="宋体" w:hAnsi="宋体" w:cs="宋体"/>
          <w:sz w:val="28"/>
          <w:szCs w:val="28"/>
          <w:lang w:val="zh-CN"/>
        </w:rPr>
        <w:t>学生才返校学习，许多教学及科研活动在线上开展</w:t>
      </w:r>
      <w:r w:rsidRPr="002D1C8A">
        <w:rPr>
          <w:rFonts w:ascii="宋体" w:hAnsi="Times New Roman" w:cs="宋体"/>
          <w:sz w:val="28"/>
          <w:szCs w:val="28"/>
        </w:rPr>
        <w:t>。</w:t>
      </w:r>
    </w:p>
    <w:p w:rsidR="00B87C8A" w:rsidRPr="002D1C8A" w:rsidRDefault="002D1C8A">
      <w:pPr>
        <w:widowControl/>
        <w:spacing w:line="360" w:lineRule="auto"/>
        <w:ind w:firstLineChars="200" w:firstLine="562"/>
        <w:rPr>
          <w:rFonts w:ascii="宋体" w:hint="default"/>
          <w:kern w:val="0"/>
          <w:sz w:val="28"/>
          <w:szCs w:val="28"/>
        </w:rPr>
      </w:pPr>
      <w:r w:rsidRPr="002D1C8A">
        <w:rPr>
          <w:rFonts w:ascii="宋体" w:hAnsi="Times New Roman" w:cs="宋体"/>
          <w:b/>
          <w:sz w:val="28"/>
          <w:szCs w:val="28"/>
        </w:rPr>
        <w:lastRenderedPageBreak/>
        <w:t>（二）财政拨款支出决算结构情况</w:t>
      </w:r>
    </w:p>
    <w:p w:rsidR="00B87C8A" w:rsidRPr="002D1C8A" w:rsidRDefault="002D1C8A" w:rsidP="002D1C8A">
      <w:pPr>
        <w:widowControl/>
        <w:spacing w:line="360" w:lineRule="auto"/>
        <w:ind w:firstLineChars="200" w:firstLine="560"/>
        <w:rPr>
          <w:rFonts w:ascii="宋体" w:hint="default"/>
          <w:kern w:val="0"/>
          <w:sz w:val="28"/>
          <w:szCs w:val="28"/>
        </w:rPr>
      </w:pPr>
      <w:r w:rsidRPr="002D1C8A">
        <w:rPr>
          <w:rFonts w:ascii="宋体" w:hAnsi="Times New Roman" w:cs="宋体"/>
          <w:kern w:val="0"/>
          <w:sz w:val="28"/>
          <w:szCs w:val="28"/>
        </w:rPr>
        <w:t>2021年度财政拨款支出37214.92万元，主要用于以下方面：一般公共服务（类）支出56.89万元，占0.15%；教育（类）支出31788.52万元，占85.42%；科学技术（类）支出480.2万元，占1.29%；文化旅游体育与传媒（类）支出50万元，占0.13%；社会保障和就业（类）支出3184.6万元，占8.56%；卫生健康（类）支出253.2万元，占0.68%；住房保障（类）支出1401.52万元，占3.77%；</w:t>
      </w:r>
    </w:p>
    <w:p w:rsidR="00B87C8A" w:rsidRPr="002D1C8A" w:rsidRDefault="002D1C8A">
      <w:pPr>
        <w:widowControl/>
        <w:spacing w:line="360" w:lineRule="auto"/>
        <w:ind w:firstLineChars="200" w:firstLine="562"/>
        <w:rPr>
          <w:rFonts w:ascii="宋体" w:hint="default"/>
          <w:kern w:val="0"/>
          <w:sz w:val="28"/>
          <w:szCs w:val="28"/>
        </w:rPr>
      </w:pPr>
      <w:r w:rsidRPr="002D1C8A">
        <w:rPr>
          <w:rFonts w:ascii="宋体" w:cs="宋体"/>
          <w:b/>
          <w:sz w:val="28"/>
          <w:szCs w:val="28"/>
        </w:rPr>
        <w:t>（三）财政拨款支出决算具体情况</w:t>
      </w:r>
    </w:p>
    <w:p w:rsidR="00B87C8A" w:rsidRPr="002D1C8A" w:rsidRDefault="002D1C8A" w:rsidP="002D1C8A">
      <w:pPr>
        <w:widowControl/>
        <w:spacing w:line="360" w:lineRule="auto"/>
        <w:ind w:firstLineChars="200" w:firstLine="560"/>
        <w:rPr>
          <w:rFonts w:ascii="宋体" w:hint="default"/>
          <w:kern w:val="0"/>
          <w:sz w:val="28"/>
          <w:szCs w:val="28"/>
        </w:rPr>
      </w:pPr>
      <w:r w:rsidRPr="002D1C8A">
        <w:rPr>
          <w:rFonts w:ascii="宋体" w:cs="宋体"/>
          <w:sz w:val="28"/>
          <w:szCs w:val="28"/>
          <w:lang w:val="zh-CN"/>
        </w:rPr>
        <w:t>2021年度财政拨款支出年初预算为27609.5万元，支出决算为37214.92万元，</w:t>
      </w:r>
      <w:r w:rsidRPr="002D1C8A">
        <w:rPr>
          <w:rFonts w:ascii="宋体" w:hAnsi="宋体" w:cs="宋体"/>
          <w:sz w:val="28"/>
          <w:szCs w:val="28"/>
        </w:rPr>
        <w:t>因年中有财政拨款追加，所以年初预算执行率超过100%</w:t>
      </w:r>
      <w:r w:rsidRPr="002D1C8A">
        <w:rPr>
          <w:rFonts w:ascii="宋体" w:hAnsi="宋体" w:cs="宋体"/>
          <w:sz w:val="28"/>
          <w:szCs w:val="28"/>
          <w:lang w:val="zh-CN"/>
        </w:rPr>
        <w:t>。其中：</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1、一般公共服务（类）发展与改革事务（款）其他发展与改革事务支出（项）。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年初预算为5.39万元，支出决算为5.39万元，年初预算执行率100%。</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2、一般公共服务（类）民族事务（款）民族工作专项（项）。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年初预算为0万元，支出决算为50万元，决算数大于年初预算数的主要原因是：该项经费于年中追加。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3、一般公共服务支出（类）群众团体事务（款）一般行政管理事务（项）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年初预算为0万元，支出决算为1.5万元，决算数大于年初预算数的主要原因是：该项经费于年中追加。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4、教育支出（类）普通教育（款）高等教育（项）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年初预算为22867.59万元，支出决算为31788.52万元，决算数大于年初预算数的主要原因是：年中追加“十四五”基建专项、中央支持地</w:t>
      </w:r>
      <w:r w:rsidRPr="002D1C8A">
        <w:rPr>
          <w:rFonts w:ascii="宋体" w:eastAsia="宋体" w:hAnsi="宋体"/>
          <w:color w:val="auto"/>
          <w:sz w:val="28"/>
          <w:szCs w:val="28"/>
        </w:rPr>
        <w:lastRenderedPageBreak/>
        <w:t>方高校建设专项、高校学生奖助学金、教育部预科生培养经费及其他财政专项经费。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5、科学技术支出（类）基础研究（款）自然科学基金（项）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年初预算为0万元，支出决算为115万元，决算数大于年初预算数的主要原因是：该项经费于年中追加。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6、科学技术支出（类）应用研究（款）高技术研究（项）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年初预算为50万元，支出决算为100万元，决算数大于年初预算数的主要原因是：该项经费于年中追加。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7、科学技术支出（类）科技条件与服务（款）其他科技条件与服务支出（项）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年初预算为20万元，支出决算为20万元，年初预算执行率100%。</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8、科学技术支出（类）社会科学（款）其他社会科学支出（项）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年初预算为0万元，支出决算为145.2万元，决算数大于年初预算数的主要原因是：该项经费于年中追加。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9、科学技术支出（类）科学技术普及（款）科普活动（项）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年初预算为10万元，支出决算为10万元，年初预算执行率100%。</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10、科学技术支出（类）科学技术普及（款）其他科学技术普及支出（项）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年初预算为0万元，支出决算为5万元，决算数大于年初预算数的主要原因是：该项经费于年中追加。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11、科学技术支出（类）科技重大项目（款）重点研发计划（项）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年初预算为50万元，支出决算为50万元，年初预算执行率100%。</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12、科学技术支出（类）其他科学技术支出（款）科技奖励（项）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年初预算为0万元，支出决算为35万元，决算数大于年初预算数的</w:t>
      </w:r>
      <w:r w:rsidRPr="002D1C8A">
        <w:rPr>
          <w:rFonts w:ascii="宋体" w:eastAsia="宋体" w:hAnsi="宋体"/>
          <w:color w:val="auto"/>
          <w:sz w:val="28"/>
          <w:szCs w:val="28"/>
        </w:rPr>
        <w:lastRenderedPageBreak/>
        <w:t>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13、文化旅游体育与传媒支出（类）文化和旅游（款）其他文化和旅游支出（项）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年初预算为50万元，支出决算为50万元，年初预算执行率100%。</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14、社会保障和就业支出（类）行政事业单位养老支出（款）机关事业单位基本养老保险缴费支出（项）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 xml:space="preserve">年初预算为3155万元，支出决算为3155万元，实际预算执行率100%。 </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15、社会保障和就业支出（类）就业补助（款）其他就业补助支出（项）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年初预算为0万元，支出决算为29.6万元，决算数大于年初预算数的主要原因是：该项经费于年中追加。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16、卫生健康支出（类）公共卫生（款）重大公共卫生服务（项）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年初预算为0万元，支出决算为188万元，决算数大于年初预算数的主要原因是：该项经费于年中追加。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17、卫生健康支出（类）公共卫生（款）其他公共卫生支出（项）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年初预算为0万元，支出决算为63.2万元，决算数大于年初预算数的主要原因是：该项经费于年中追加。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18、卫生健康支出（类）中医药（款）中医（民族医）药专项（项）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年初预算为0万元，支出决算为2万元，决算数大于年初预算数的主要原因是：该项经费于年中追加。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19、住房保障支出（类）住房改革支出（款）住房公积金（项）</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年初预算为1401.52万元，支出决算为1401.52万元，年初预算执行率100%。</w:t>
      </w:r>
    </w:p>
    <w:p w:rsidR="00B87C8A" w:rsidRDefault="002D1C8A">
      <w:pPr>
        <w:pStyle w:val="Default"/>
        <w:spacing w:line="360" w:lineRule="auto"/>
        <w:ind w:firstLineChars="200" w:firstLine="640"/>
        <w:rPr>
          <w:rFonts w:hint="default"/>
          <w:color w:val="auto"/>
          <w:sz w:val="32"/>
          <w:szCs w:val="32"/>
        </w:rPr>
      </w:pPr>
      <w:r>
        <w:rPr>
          <w:color w:val="auto"/>
          <w:sz w:val="32"/>
          <w:szCs w:val="32"/>
        </w:rPr>
        <w:t>六、一般公共预算财政拨款基本支出决算情况说明</w:t>
      </w:r>
    </w:p>
    <w:p w:rsidR="00B87C8A" w:rsidRDefault="002D1C8A">
      <w:pPr>
        <w:pStyle w:val="Default"/>
        <w:spacing w:line="360" w:lineRule="auto"/>
        <w:ind w:firstLineChars="200" w:firstLine="560"/>
        <w:rPr>
          <w:rFonts w:ascii="宋体" w:eastAsia="宋体" w:hAnsi="Times New Roman" w:cs="宋体" w:hint="default"/>
          <w:color w:val="auto"/>
          <w:sz w:val="32"/>
          <w:szCs w:val="32"/>
        </w:rPr>
      </w:pPr>
      <w:r>
        <w:rPr>
          <w:rFonts w:ascii="宋体" w:eastAsia="宋体" w:hAnsi="宋体"/>
          <w:color w:val="auto"/>
          <w:sz w:val="28"/>
          <w:szCs w:val="28"/>
        </w:rPr>
        <w:lastRenderedPageBreak/>
        <w:t>2021年度财政拨款基本支出25701.46万元，其中:人员经费24209.22万元，占基本支出的94.19%，主要包括基本工资、津贴补贴、伙食补助费、绩效工资、机关事业单位基本养老保险缴费、职工基本医疗保险缴费、其他社会保障缴费、住房公积金、其他工资福利支出、离休费、抚恤金、生活补助、医疗费补助、其他对个人和家庭的补助；公用经费1492.24万元，占基本支出的5.81%，主要包括办公费、印刷费、邮电费、物业管理费、差旅费、公务接待费、专用材料费、劳务费、委托业务费、其他交通费用、其他商品和服务支出。</w:t>
      </w:r>
    </w:p>
    <w:p w:rsidR="00B87C8A" w:rsidRDefault="002D1C8A">
      <w:pPr>
        <w:pStyle w:val="Default"/>
        <w:spacing w:line="360" w:lineRule="auto"/>
        <w:ind w:firstLineChars="200" w:firstLine="640"/>
        <w:rPr>
          <w:rFonts w:hint="default"/>
          <w:color w:val="auto"/>
          <w:sz w:val="32"/>
          <w:szCs w:val="32"/>
          <w:lang w:val="zh-CN"/>
        </w:rPr>
      </w:pPr>
      <w:r>
        <w:rPr>
          <w:rFonts w:hAnsi="Times New Roman"/>
          <w:color w:val="auto"/>
          <w:sz w:val="32"/>
          <w:szCs w:val="32"/>
          <w:lang w:val="zh-CN"/>
        </w:rPr>
        <w:t>七、一般公共预算财政拨款</w:t>
      </w:r>
      <w:r>
        <w:rPr>
          <w:rFonts w:ascii="Calibri" w:cs="Calibri" w:hint="default"/>
          <w:color w:val="auto"/>
          <w:sz w:val="32"/>
          <w:szCs w:val="32"/>
          <w:lang w:val="zh-CN"/>
        </w:rPr>
        <w:t>“</w:t>
      </w:r>
      <w:r>
        <w:rPr>
          <w:color w:val="auto"/>
          <w:sz w:val="32"/>
          <w:szCs w:val="32"/>
          <w:lang w:val="zh-CN"/>
        </w:rPr>
        <w:t>三公</w:t>
      </w:r>
      <w:r>
        <w:rPr>
          <w:rFonts w:ascii="Calibri" w:cs="Calibri" w:hint="default"/>
          <w:color w:val="auto"/>
          <w:sz w:val="32"/>
          <w:szCs w:val="32"/>
          <w:lang w:val="zh-CN"/>
        </w:rPr>
        <w:t>”</w:t>
      </w:r>
      <w:r>
        <w:rPr>
          <w:color w:val="auto"/>
          <w:sz w:val="32"/>
          <w:szCs w:val="32"/>
          <w:lang w:val="zh-CN"/>
        </w:rPr>
        <w:t>经费支出决算情况说明</w:t>
      </w:r>
    </w:p>
    <w:p w:rsidR="00B87C8A" w:rsidRDefault="002D1C8A">
      <w:pPr>
        <w:pStyle w:val="Default"/>
        <w:spacing w:line="360" w:lineRule="auto"/>
        <w:ind w:firstLineChars="200" w:firstLine="562"/>
        <w:rPr>
          <w:rFonts w:ascii="宋体" w:eastAsia="宋体" w:hAnsi="宋体" w:cs="宋体" w:hint="default"/>
          <w:b/>
          <w:color w:val="auto"/>
          <w:sz w:val="28"/>
          <w:szCs w:val="28"/>
          <w:lang w:val="zh-CN"/>
        </w:rPr>
      </w:pPr>
      <w:r>
        <w:rPr>
          <w:rFonts w:ascii="宋体" w:eastAsia="宋体" w:hAnsi="宋体" w:cs="宋体"/>
          <w:b/>
          <w:color w:val="auto"/>
          <w:sz w:val="28"/>
          <w:szCs w:val="28"/>
          <w:lang w:val="zh-CN"/>
        </w:rPr>
        <w:t>（一）“三公”经费财政拨款支出决算总体情况说明</w:t>
      </w:r>
    </w:p>
    <w:p w:rsidR="00B87C8A" w:rsidRDefault="002D1C8A">
      <w:pPr>
        <w:pStyle w:val="Default"/>
        <w:spacing w:line="360" w:lineRule="auto"/>
        <w:ind w:firstLineChars="200" w:firstLine="560"/>
        <w:rPr>
          <w:rFonts w:ascii="宋体" w:eastAsia="宋体" w:hAnsi="Times New Roman" w:cs="宋体" w:hint="default"/>
          <w:color w:val="auto"/>
          <w:sz w:val="32"/>
          <w:szCs w:val="32"/>
        </w:rPr>
      </w:pPr>
      <w:r>
        <w:rPr>
          <w:rFonts w:ascii="宋体" w:eastAsia="宋体" w:hAnsi="宋体"/>
          <w:color w:val="auto"/>
          <w:sz w:val="28"/>
          <w:szCs w:val="28"/>
        </w:rPr>
        <w:t>2021年度“三公”经费财政拨款支出预算为58万元，支出决算为18万元,完成预算的31.03%，其中：因公出国（境）费支出预算为40万元，支出决算为0万元,国外疫情严重，原计划出国交流考察的行程全部取消；公务用车购置费及运行维护费支出预算为0万元，支出决算为0万元，与上年情况一致，无公务用车购置费及运行维护费支出预算与决算；公务接待费支出预算为18万元，支出决算为18万元,完成预算的100%,  决算数与预算数一致，我单位严格按预算执行决算，与上年相比增加3万元，增长20%,增长的主要原因是2021年国内疫情控制较好，教学及科研的合作交流增多，一般公共预算财政拨款支出的接待费较上年增加，但是全口径统计的接待费支出决算数较上年是减少的。我校严格贯彻落实中央“八项规定”精神和厉行节约要求，从严控制“三公”经费开支。</w:t>
      </w:r>
    </w:p>
    <w:p w:rsidR="00B87C8A" w:rsidRDefault="002D1C8A">
      <w:pPr>
        <w:pStyle w:val="Default"/>
        <w:spacing w:line="360" w:lineRule="auto"/>
        <w:ind w:firstLineChars="200" w:firstLine="562"/>
        <w:rPr>
          <w:rFonts w:ascii="宋体" w:eastAsia="宋体" w:hAnsi="宋体" w:cs="宋体" w:hint="default"/>
          <w:color w:val="auto"/>
          <w:sz w:val="28"/>
          <w:szCs w:val="28"/>
        </w:rPr>
      </w:pPr>
      <w:r>
        <w:rPr>
          <w:rFonts w:ascii="宋体" w:eastAsia="宋体" w:hAnsi="宋体" w:cs="宋体"/>
          <w:b/>
          <w:color w:val="auto"/>
          <w:sz w:val="28"/>
          <w:szCs w:val="28"/>
          <w:lang w:val="zh-CN"/>
        </w:rPr>
        <w:t>（二）“三公”经费财政拨款支出决算具体情况说明</w:t>
      </w:r>
    </w:p>
    <w:p w:rsidR="00B87C8A" w:rsidRDefault="002D1C8A">
      <w:pPr>
        <w:pStyle w:val="Default"/>
        <w:spacing w:line="360" w:lineRule="auto"/>
        <w:ind w:firstLineChars="200" w:firstLine="560"/>
        <w:rPr>
          <w:rFonts w:ascii="宋体" w:eastAsia="宋体" w:cs="宋体" w:hint="default"/>
          <w:color w:val="auto"/>
          <w:sz w:val="28"/>
          <w:szCs w:val="28"/>
        </w:rPr>
      </w:pPr>
      <w:r>
        <w:rPr>
          <w:rFonts w:ascii="宋体" w:eastAsia="宋体" w:hAnsi="宋体"/>
          <w:color w:val="auto"/>
          <w:sz w:val="28"/>
          <w:szCs w:val="28"/>
        </w:rPr>
        <w:t>2021年度“三公”经费财政拨款支出决算中，因公出国（境）费支</w:t>
      </w:r>
      <w:r>
        <w:rPr>
          <w:rFonts w:ascii="宋体" w:eastAsia="宋体" w:hAnsi="宋体"/>
          <w:color w:val="auto"/>
          <w:sz w:val="28"/>
          <w:szCs w:val="28"/>
        </w:rPr>
        <w:lastRenderedPageBreak/>
        <w:t>出决算0万元，公务用车购置费及运行维护费支出决算0万元，公务接待费支出决算18万元，占100%。其中：因公出国（境）费支出决算为0万元；公务用车购置费及运行维护费支出决算0万元，截止2021年12月31日，我单位开支财政拨款的公务用车保有量为0辆；公务接待费支出决算为18万元，全部为国内公务接待支出,主要用于与有关单位交流工作情况及接受相关部门检查指导工作发生的接待支出，2021年共接待国内</w:t>
      </w:r>
      <w:r w:rsidRPr="00D472CF">
        <w:rPr>
          <w:rFonts w:ascii="宋体" w:eastAsia="宋体" w:hAnsi="宋体"/>
          <w:color w:val="auto"/>
          <w:sz w:val="28"/>
          <w:szCs w:val="28"/>
        </w:rPr>
        <w:t>公务接待批次</w:t>
      </w:r>
      <w:r w:rsidR="00A462A7" w:rsidRPr="00D472CF">
        <w:rPr>
          <w:rFonts w:ascii="宋体" w:eastAsia="宋体" w:hAnsi="宋体"/>
          <w:color w:val="auto"/>
          <w:sz w:val="28"/>
          <w:szCs w:val="28"/>
        </w:rPr>
        <w:t>220</w:t>
      </w:r>
      <w:r w:rsidRPr="00D472CF">
        <w:rPr>
          <w:rFonts w:ascii="宋体" w:eastAsia="宋体" w:hAnsi="宋体"/>
          <w:color w:val="auto"/>
          <w:sz w:val="28"/>
          <w:szCs w:val="28"/>
        </w:rPr>
        <w:t>个、接待人次</w:t>
      </w:r>
      <w:r w:rsidR="00A462A7" w:rsidRPr="00D472CF">
        <w:rPr>
          <w:rFonts w:ascii="宋体" w:eastAsia="宋体" w:hAnsi="宋体"/>
          <w:color w:val="auto"/>
          <w:sz w:val="28"/>
          <w:szCs w:val="28"/>
        </w:rPr>
        <w:t>1627</w:t>
      </w:r>
      <w:r w:rsidRPr="00D472CF">
        <w:rPr>
          <w:rFonts w:ascii="宋体" w:eastAsia="宋体" w:hAnsi="宋体"/>
          <w:color w:val="auto"/>
          <w:sz w:val="28"/>
          <w:szCs w:val="28"/>
        </w:rPr>
        <w:t>人次（</w:t>
      </w:r>
      <w:r w:rsidR="00A462A7" w:rsidRPr="00D472CF">
        <w:rPr>
          <w:rFonts w:ascii="宋体" w:eastAsia="宋体" w:hAnsi="宋体"/>
          <w:color w:val="auto"/>
          <w:sz w:val="28"/>
          <w:szCs w:val="28"/>
        </w:rPr>
        <w:t>不</w:t>
      </w:r>
      <w:r w:rsidRPr="00D472CF">
        <w:rPr>
          <w:rFonts w:ascii="宋体" w:eastAsia="宋体" w:hAnsi="宋体"/>
          <w:color w:val="auto"/>
          <w:sz w:val="28"/>
          <w:szCs w:val="28"/>
        </w:rPr>
        <w:t>包括陪同人员）</w:t>
      </w:r>
      <w:r>
        <w:rPr>
          <w:rFonts w:ascii="宋体" w:eastAsia="宋体" w:hAnsi="宋体"/>
          <w:color w:val="auto"/>
          <w:sz w:val="28"/>
          <w:szCs w:val="28"/>
        </w:rPr>
        <w:t>。</w:t>
      </w:r>
    </w:p>
    <w:p w:rsidR="00B87C8A" w:rsidRDefault="002D1C8A">
      <w:pPr>
        <w:autoSpaceDE w:val="0"/>
        <w:autoSpaceDN w:val="0"/>
        <w:adjustRightInd w:val="0"/>
        <w:spacing w:line="360" w:lineRule="auto"/>
        <w:ind w:firstLineChars="200" w:firstLine="640"/>
        <w:jc w:val="left"/>
        <w:rPr>
          <w:rFonts w:ascii="宋体" w:cs="宋体" w:hint="default"/>
          <w:sz w:val="28"/>
          <w:szCs w:val="28"/>
        </w:rPr>
      </w:pPr>
      <w:r>
        <w:rPr>
          <w:rFonts w:ascii="黑体" w:eastAsia="黑体" w:cs="黑体"/>
          <w:sz w:val="32"/>
          <w:szCs w:val="32"/>
          <w:lang w:val="zh-CN"/>
        </w:rPr>
        <w:t>八、政府性基金预算收入支出决算情况</w:t>
      </w:r>
    </w:p>
    <w:p w:rsidR="00B87C8A" w:rsidRPr="002D1C8A" w:rsidRDefault="002D1C8A" w:rsidP="002D1C8A">
      <w:pPr>
        <w:autoSpaceDE w:val="0"/>
        <w:autoSpaceDN w:val="0"/>
        <w:adjustRightInd w:val="0"/>
        <w:spacing w:line="360" w:lineRule="auto"/>
        <w:ind w:firstLineChars="200" w:firstLine="560"/>
        <w:rPr>
          <w:rFonts w:ascii="Times New Roman" w:hAnsi="Times New Roman" w:hint="default"/>
          <w:sz w:val="28"/>
          <w:szCs w:val="28"/>
        </w:rPr>
      </w:pPr>
      <w:r w:rsidRPr="002D1C8A">
        <w:rPr>
          <w:rFonts w:ascii="宋体" w:cs="宋体"/>
          <w:sz w:val="28"/>
          <w:szCs w:val="28"/>
          <w:lang w:val="zh-CN"/>
        </w:rPr>
        <w:t>2021年本单位没有使用政府性基金预算财政拨款安排的收支。</w:t>
      </w:r>
    </w:p>
    <w:p w:rsidR="00B87C8A" w:rsidRDefault="002D1C8A">
      <w:pPr>
        <w:autoSpaceDE w:val="0"/>
        <w:autoSpaceDN w:val="0"/>
        <w:adjustRightInd w:val="0"/>
        <w:spacing w:line="360" w:lineRule="auto"/>
        <w:ind w:firstLineChars="200" w:firstLine="640"/>
        <w:rPr>
          <w:rFonts w:ascii="宋体" w:hAnsi="Times New Roman" w:cs="宋体" w:hint="default"/>
          <w:sz w:val="32"/>
          <w:szCs w:val="32"/>
          <w:lang w:val="zh-CN"/>
        </w:rPr>
      </w:pPr>
      <w:r>
        <w:rPr>
          <w:rFonts w:ascii="黑体" w:eastAsia="黑体" w:hAnsi="Times New Roman" w:cs="黑体"/>
          <w:sz w:val="32"/>
          <w:szCs w:val="32"/>
          <w:lang w:val="zh-CN"/>
        </w:rPr>
        <w:t>九、国有资本经营预算财政拨款支出决算情况</w:t>
      </w:r>
    </w:p>
    <w:p w:rsidR="00B87C8A" w:rsidRPr="002D1C8A" w:rsidRDefault="002D1C8A" w:rsidP="002D1C8A">
      <w:pPr>
        <w:autoSpaceDE w:val="0"/>
        <w:autoSpaceDN w:val="0"/>
        <w:adjustRightInd w:val="0"/>
        <w:spacing w:line="360" w:lineRule="auto"/>
        <w:ind w:firstLineChars="200" w:firstLine="560"/>
        <w:rPr>
          <w:rFonts w:ascii="宋体" w:hAnsi="Times New Roman" w:cs="宋体" w:hint="default"/>
          <w:sz w:val="28"/>
          <w:szCs w:val="28"/>
          <w:lang w:val="zh-CN"/>
        </w:rPr>
      </w:pPr>
      <w:r w:rsidRPr="002D1C8A">
        <w:rPr>
          <w:rFonts w:ascii="宋体" w:hAnsi="Times New Roman" w:cs="宋体"/>
          <w:sz w:val="28"/>
          <w:szCs w:val="28"/>
          <w:lang w:val="zh-CN"/>
        </w:rPr>
        <w:t>2021年本单位没有使用国有资本经营预算安排的支出。</w:t>
      </w:r>
    </w:p>
    <w:p w:rsidR="00B87C8A" w:rsidRDefault="002D1C8A">
      <w:pPr>
        <w:autoSpaceDE w:val="0"/>
        <w:autoSpaceDN w:val="0"/>
        <w:adjustRightInd w:val="0"/>
        <w:spacing w:line="360" w:lineRule="auto"/>
        <w:ind w:firstLineChars="200" w:firstLine="640"/>
        <w:rPr>
          <w:rFonts w:ascii="宋体" w:hAnsi="Times New Roman" w:cs="宋体" w:hint="default"/>
          <w:sz w:val="32"/>
          <w:szCs w:val="32"/>
          <w:lang w:val="zh-CN"/>
        </w:rPr>
      </w:pPr>
      <w:r>
        <w:rPr>
          <w:rFonts w:ascii="黑体" w:eastAsia="黑体" w:hAnsi="Times New Roman" w:cs="黑体"/>
          <w:kern w:val="0"/>
          <w:sz w:val="32"/>
          <w:szCs w:val="32"/>
        </w:rPr>
        <w:t>十、</w:t>
      </w:r>
      <w:r>
        <w:rPr>
          <w:rFonts w:ascii="黑体" w:eastAsia="黑体" w:hAnsi="Times New Roman" w:cs="黑体"/>
          <w:sz w:val="32"/>
          <w:szCs w:val="32"/>
        </w:rPr>
        <w:t>机关运行经费支出说明</w:t>
      </w:r>
    </w:p>
    <w:p w:rsidR="00B87C8A" w:rsidRPr="002D1C8A" w:rsidRDefault="002D1C8A" w:rsidP="002D1C8A">
      <w:pPr>
        <w:autoSpaceDE w:val="0"/>
        <w:autoSpaceDN w:val="0"/>
        <w:adjustRightInd w:val="0"/>
        <w:spacing w:line="360" w:lineRule="auto"/>
        <w:ind w:firstLineChars="200" w:firstLine="560"/>
        <w:rPr>
          <w:rFonts w:ascii="宋体" w:hAnsi="Times New Roman" w:cs="宋体" w:hint="default"/>
          <w:sz w:val="28"/>
          <w:szCs w:val="28"/>
          <w:lang w:val="zh-CN"/>
        </w:rPr>
      </w:pPr>
      <w:r w:rsidRPr="002D1C8A">
        <w:rPr>
          <w:rFonts w:ascii="宋体" w:hAnsi="Times New Roman" w:cs="宋体"/>
          <w:sz w:val="28"/>
          <w:szCs w:val="28"/>
        </w:rPr>
        <w:t>吉首大学单位性质为财政补助事业单位，部门决算报表没有机关运行经费统计数据。</w:t>
      </w:r>
    </w:p>
    <w:p w:rsidR="00B87C8A" w:rsidRDefault="002D1C8A">
      <w:pPr>
        <w:autoSpaceDE w:val="0"/>
        <w:autoSpaceDN w:val="0"/>
        <w:adjustRightInd w:val="0"/>
        <w:spacing w:line="360" w:lineRule="auto"/>
        <w:ind w:firstLineChars="200" w:firstLine="640"/>
        <w:rPr>
          <w:rFonts w:ascii="宋体" w:hAnsi="Times New Roman" w:cs="宋体" w:hint="default"/>
          <w:sz w:val="32"/>
          <w:szCs w:val="32"/>
          <w:lang w:val="zh-CN"/>
        </w:rPr>
      </w:pPr>
      <w:r>
        <w:rPr>
          <w:rFonts w:ascii="黑体" w:eastAsia="黑体" w:hAnsi="Times New Roman" w:cs="黑体"/>
          <w:sz w:val="32"/>
          <w:szCs w:val="32"/>
        </w:rPr>
        <w:t>十一、</w:t>
      </w:r>
      <w:r>
        <w:rPr>
          <w:rFonts w:ascii="黑体" w:eastAsia="黑体" w:hAnsi="Times New Roman" w:cs="黑体"/>
          <w:kern w:val="0"/>
          <w:sz w:val="32"/>
          <w:szCs w:val="32"/>
        </w:rPr>
        <w:t>一般性支出情况</w:t>
      </w:r>
    </w:p>
    <w:p w:rsidR="00B87C8A" w:rsidRPr="002D1C8A" w:rsidRDefault="002D1C8A">
      <w:pPr>
        <w:autoSpaceDE w:val="0"/>
        <w:autoSpaceDN w:val="0"/>
        <w:adjustRightInd w:val="0"/>
        <w:spacing w:line="360" w:lineRule="auto"/>
        <w:ind w:firstLineChars="200" w:firstLine="560"/>
        <w:rPr>
          <w:rFonts w:ascii="宋体" w:hAnsi="Times New Roman" w:cs="宋体" w:hint="default"/>
          <w:sz w:val="28"/>
          <w:szCs w:val="28"/>
        </w:rPr>
      </w:pPr>
      <w:r w:rsidRPr="002D1C8A">
        <w:rPr>
          <w:rFonts w:ascii="宋体" w:hAnsi="宋体" w:cs="宋体"/>
          <w:kern w:val="0"/>
          <w:sz w:val="28"/>
          <w:szCs w:val="28"/>
        </w:rPr>
        <w:t>2021年本部门</w:t>
      </w:r>
      <w:r w:rsidRPr="002D1C8A">
        <w:rPr>
          <w:rFonts w:ascii="宋体" w:hAnsi="宋体" w:cs="宋体"/>
          <w:sz w:val="28"/>
          <w:szCs w:val="28"/>
          <w:lang w:val="zh-CN"/>
        </w:rPr>
        <w:t>一般公共预算财政拨款支出决算</w:t>
      </w:r>
      <w:r w:rsidRPr="002D1C8A">
        <w:rPr>
          <w:rFonts w:ascii="宋体" w:hAnsi="宋体" w:cs="宋体"/>
          <w:kern w:val="0"/>
          <w:sz w:val="28"/>
          <w:szCs w:val="28"/>
        </w:rPr>
        <w:t>无</w:t>
      </w:r>
      <w:r w:rsidRPr="002D1C8A">
        <w:rPr>
          <w:rFonts w:ascii="宋体" w:hAnsi="Times New Roman" w:cs="宋体"/>
          <w:kern w:val="0"/>
          <w:sz w:val="28"/>
          <w:szCs w:val="28"/>
        </w:rPr>
        <w:t>举办节庆、晚会、论坛、赛事活动等相关的</w:t>
      </w:r>
      <w:r w:rsidRPr="002D1C8A">
        <w:rPr>
          <w:rFonts w:ascii="宋体" w:hAnsi="宋体" w:cs="宋体"/>
          <w:kern w:val="0"/>
          <w:sz w:val="28"/>
          <w:szCs w:val="28"/>
        </w:rPr>
        <w:t>会议费开支。</w:t>
      </w:r>
    </w:p>
    <w:p w:rsidR="00B87C8A" w:rsidRDefault="002D1C8A">
      <w:pPr>
        <w:autoSpaceDE w:val="0"/>
        <w:autoSpaceDN w:val="0"/>
        <w:adjustRightInd w:val="0"/>
        <w:spacing w:line="360" w:lineRule="auto"/>
        <w:ind w:firstLineChars="200" w:firstLine="640"/>
        <w:rPr>
          <w:rFonts w:ascii="宋体" w:hAnsi="Times New Roman" w:cs="宋体" w:hint="default"/>
          <w:sz w:val="32"/>
          <w:szCs w:val="32"/>
        </w:rPr>
      </w:pPr>
      <w:r>
        <w:rPr>
          <w:rFonts w:ascii="黑体" w:eastAsia="黑体" w:hAnsi="Times New Roman" w:cs="黑体"/>
          <w:kern w:val="0"/>
          <w:sz w:val="32"/>
          <w:szCs w:val="32"/>
        </w:rPr>
        <w:t>十二、关于</w:t>
      </w:r>
      <w:r>
        <w:rPr>
          <w:rFonts w:ascii="黑体" w:eastAsia="黑体" w:hAnsi="Times New Roman" w:cs="黑体"/>
          <w:sz w:val="32"/>
          <w:szCs w:val="32"/>
        </w:rPr>
        <w:t>政府采购支出说明</w:t>
      </w:r>
    </w:p>
    <w:p w:rsidR="00B87C8A" w:rsidRPr="002D1C8A" w:rsidRDefault="002D1C8A" w:rsidP="002D1C8A">
      <w:pPr>
        <w:autoSpaceDE w:val="0"/>
        <w:autoSpaceDN w:val="0"/>
        <w:adjustRightInd w:val="0"/>
        <w:spacing w:line="360" w:lineRule="auto"/>
        <w:ind w:firstLineChars="200" w:firstLine="560"/>
        <w:rPr>
          <w:rFonts w:ascii="宋体" w:hAnsi="Times New Roman" w:cs="宋体" w:hint="default"/>
          <w:sz w:val="28"/>
          <w:szCs w:val="28"/>
        </w:rPr>
      </w:pPr>
      <w:r w:rsidRPr="002D1C8A">
        <w:rPr>
          <w:rFonts w:ascii="宋体" w:hAnsi="Times New Roman" w:cs="宋体"/>
          <w:sz w:val="28"/>
          <w:szCs w:val="28"/>
        </w:rPr>
        <w:t>2021年度政府采购支出总额11628.76万元，其中：政府采购货物支出4326.68万元；政府采购工程支出3792.58万元；政府采购服务支出3509.5万元。授予中小企业合同金额7093.98万元，占政府采购支出总额的61%，其中：授予小微企业合同金额6108.96万元，占授予中小企业合同金额的86.11%。</w:t>
      </w:r>
    </w:p>
    <w:p w:rsidR="00B87C8A" w:rsidRDefault="002D1C8A">
      <w:pPr>
        <w:autoSpaceDE w:val="0"/>
        <w:autoSpaceDN w:val="0"/>
        <w:adjustRightInd w:val="0"/>
        <w:spacing w:line="360" w:lineRule="auto"/>
        <w:ind w:firstLineChars="200" w:firstLine="640"/>
        <w:rPr>
          <w:rFonts w:ascii="宋体" w:hAnsi="Times New Roman" w:cs="宋体" w:hint="default"/>
          <w:sz w:val="32"/>
          <w:szCs w:val="32"/>
        </w:rPr>
      </w:pPr>
      <w:r>
        <w:rPr>
          <w:rFonts w:ascii="黑体" w:eastAsia="黑体" w:hAnsi="Times New Roman" w:cs="黑体"/>
          <w:sz w:val="32"/>
          <w:szCs w:val="32"/>
        </w:rPr>
        <w:lastRenderedPageBreak/>
        <w:t>十三、关于国有资产占有情况</w:t>
      </w:r>
      <w:r>
        <w:rPr>
          <w:rFonts w:ascii="黑体" w:eastAsia="黑体" w:hAnsi="Times New Roman" w:cs="黑体"/>
          <w:kern w:val="0"/>
          <w:sz w:val="32"/>
          <w:szCs w:val="32"/>
        </w:rPr>
        <w:t>说明</w:t>
      </w:r>
    </w:p>
    <w:p w:rsidR="00B87C8A" w:rsidRPr="002D1C8A" w:rsidRDefault="002D1C8A" w:rsidP="002D1C8A">
      <w:pPr>
        <w:autoSpaceDE w:val="0"/>
        <w:autoSpaceDN w:val="0"/>
        <w:adjustRightInd w:val="0"/>
        <w:spacing w:line="360" w:lineRule="auto"/>
        <w:ind w:firstLineChars="200" w:firstLine="560"/>
        <w:rPr>
          <w:rFonts w:ascii="宋体" w:hAnsi="Times New Roman" w:cs="宋体" w:hint="default"/>
          <w:sz w:val="28"/>
          <w:szCs w:val="28"/>
        </w:rPr>
      </w:pPr>
      <w:r w:rsidRPr="002D1C8A">
        <w:rPr>
          <w:rFonts w:ascii="宋体" w:hAnsi="Times New Roman" w:cs="宋体"/>
          <w:sz w:val="28"/>
          <w:szCs w:val="28"/>
        </w:rPr>
        <w:t>截至2021年12月31日，吉首大学共有车辆9辆。其中：应急保障用车5辆、其他用车4辆，其他用车主要是用于机要通信和应急保障之外公务用途的车辆；单价50万元(含)以上通用设备28台（套），单价 100 万元(含)以上专用设备3台（套）。</w:t>
      </w:r>
    </w:p>
    <w:p w:rsidR="00B87C8A" w:rsidRDefault="002D1C8A">
      <w:pPr>
        <w:autoSpaceDE w:val="0"/>
        <w:autoSpaceDN w:val="0"/>
        <w:adjustRightInd w:val="0"/>
        <w:spacing w:line="360" w:lineRule="auto"/>
        <w:ind w:firstLineChars="200" w:firstLine="640"/>
        <w:rPr>
          <w:rFonts w:ascii="黑体" w:eastAsia="黑体" w:cs="黑体" w:hint="default"/>
          <w:kern w:val="0"/>
          <w:sz w:val="32"/>
          <w:szCs w:val="32"/>
        </w:rPr>
      </w:pPr>
      <w:r>
        <w:rPr>
          <w:rFonts w:ascii="黑体" w:eastAsia="黑体" w:cs="黑体"/>
          <w:sz w:val="32"/>
          <w:szCs w:val="32"/>
        </w:rPr>
        <w:t>十</w:t>
      </w:r>
      <w:r>
        <w:rPr>
          <w:rFonts w:ascii="黑体" w:eastAsia="黑体" w:cs="黑体"/>
          <w:kern w:val="0"/>
          <w:sz w:val="32"/>
          <w:szCs w:val="32"/>
        </w:rPr>
        <w:t>四、关于2021年度预算绩效情况的说明</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学校预算管理坚持“量入为出、收支平衡，综合预算、统筹资源，保证重点、兼顾一般，厉行节约、讲求绩效”的原则。为提高资金使用效益，实现“集中力量办大事”，学校主要从以下方面持续加强预算绩效管理。</w:t>
      </w:r>
    </w:p>
    <w:p w:rsidR="00B87C8A" w:rsidRDefault="002D1C8A">
      <w:pPr>
        <w:spacing w:line="360" w:lineRule="auto"/>
        <w:ind w:firstLineChars="200" w:firstLine="562"/>
        <w:rPr>
          <w:rFonts w:ascii="宋体" w:cs="黑体" w:hint="default"/>
          <w:b/>
          <w:kern w:val="0"/>
          <w:sz w:val="28"/>
          <w:szCs w:val="28"/>
        </w:rPr>
      </w:pPr>
      <w:r>
        <w:rPr>
          <w:rFonts w:ascii="宋体" w:hAnsi="宋体" w:cs="宋体"/>
          <w:b/>
          <w:kern w:val="0"/>
          <w:sz w:val="28"/>
          <w:szCs w:val="28"/>
        </w:rPr>
        <w:t>（一）实施全过程绩效管理</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1、预算编制时，明确绩效目标。一是明确申报专项预算时，在对项目建设必要性、可行性分析的同时，需列明项目的绩效目标；二是预算项目遴选时，绩效目标设置的清晰、合理、有效，是项目能否立项的重要影响因素；三是学校预算编制草案及明细方案（含项目绩效目标）须报经学校校务会审议、校党委会决议确定；四是项目绩效目</w:t>
      </w:r>
      <w:r w:rsidR="003F0F38">
        <w:rPr>
          <w:rFonts w:ascii="宋体" w:hAnsi="宋体" w:cs="宋体"/>
          <w:kern w:val="0"/>
          <w:sz w:val="28"/>
          <w:szCs w:val="28"/>
        </w:rPr>
        <w:t>标</w:t>
      </w:r>
      <w:r>
        <w:rPr>
          <w:rFonts w:ascii="宋体" w:hAnsi="宋体" w:cs="宋体"/>
          <w:kern w:val="0"/>
          <w:sz w:val="28"/>
          <w:szCs w:val="28"/>
        </w:rPr>
        <w:t>经整理成档后作为预算绩效评价依据。</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2、预算执行中，实施跟踪问效。年度下达预算后，学校财务部门于年中及下半年及时开展资金执行情况分析、整理和调研，序时公开预算执行情况，分别采取收回预算资金、压缩下年度预算、进行预算调整等方式对预算资金跟踪问效。</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3、预算年度间，开展绩效评价。每年末，开展预算执行情况分析，执行情况与下年预算草案挂钩，对部分执行效果差的项目采取预算削减</w:t>
      </w:r>
      <w:r>
        <w:rPr>
          <w:rFonts w:ascii="宋体" w:hAnsi="宋体" w:cs="宋体"/>
          <w:kern w:val="0"/>
          <w:sz w:val="28"/>
          <w:szCs w:val="28"/>
        </w:rPr>
        <w:lastRenderedPageBreak/>
        <w:t>或暂缓项目立项方式实施跟踪问效。组织或协助开展资金预算绩效评价、预算项目执行审计等工作，通过约谈、公开或披露预算项目执行存在的问题等方式，不断强化预算绩效的全过程管理，有效地提高了资金使用的合规性、效益性。</w:t>
      </w:r>
    </w:p>
    <w:p w:rsidR="00B87C8A" w:rsidRDefault="002D1C8A">
      <w:pPr>
        <w:spacing w:line="360" w:lineRule="auto"/>
        <w:ind w:firstLineChars="200" w:firstLine="562"/>
        <w:rPr>
          <w:rFonts w:ascii="宋体" w:cs="黑体" w:hint="default"/>
          <w:kern w:val="0"/>
          <w:sz w:val="28"/>
          <w:szCs w:val="28"/>
        </w:rPr>
      </w:pPr>
      <w:r>
        <w:rPr>
          <w:rFonts w:ascii="宋体" w:hAnsi="宋体" w:cs="宋体"/>
          <w:b/>
          <w:kern w:val="0"/>
          <w:sz w:val="28"/>
          <w:szCs w:val="28"/>
        </w:rPr>
        <w:t>（二）积极开展高校双一流建设专项资金绩效评价</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 xml:space="preserve">  根据省厅文件要求，积极开展高校双一流建设专项资金绩效评价，以评促建、以评促改。通过专项资金绩效评价的组织实施，对标学校整体资金的预算绩效管理，总结经验，完善预算绩效管理机制。</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在编报2021年预算时，学校预测双一流经费5326.39万元，较2020年5192.36万元增长134.03</w:t>
      </w:r>
      <w:r w:rsidR="00803058">
        <w:rPr>
          <w:rFonts w:ascii="宋体" w:hAnsi="宋体" w:cs="宋体"/>
          <w:kern w:val="0"/>
          <w:sz w:val="28"/>
          <w:szCs w:val="28"/>
        </w:rPr>
        <w:t>万元，主要依据是学校获批为国家博士学位授权单位</w:t>
      </w:r>
      <w:r>
        <w:rPr>
          <w:rFonts w:ascii="宋体" w:hAnsi="宋体" w:cs="宋体"/>
          <w:kern w:val="0"/>
          <w:sz w:val="28"/>
          <w:szCs w:val="28"/>
        </w:rPr>
        <w:t>，办学层次及办学规模有较大提升。学校在2021年初预算编报时按5236.39万元遴选“双一流”建设项目库，预算执行过程中，再根据省财政的实际到账“双一流”专项经费，具体明确“双一流”建设项目库中的资金保障性质。</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学校2021年获得省财政“双一流”专项资金3103万元（2021〔湘财预〕0001号 2478万，湘财教指〔2021〕0040号605万，湘财教指〔2021〕0042号 20万）；根据省厅实际拨款情况，结合年初遴选的“双一流”建设项目库，明确2021年“双一流”建设项目资金3103万元由省财政专项保障，剩余2223.39万元由学校自有资金解决。具体建设项目及实际使用情况如下：</w:t>
      </w:r>
    </w:p>
    <w:p w:rsidR="00B87C8A" w:rsidRDefault="002D1C8A">
      <w:pPr>
        <w:adjustRightInd w:val="0"/>
        <w:snapToGrid w:val="0"/>
        <w:spacing w:line="600" w:lineRule="exact"/>
        <w:ind w:firstLine="0"/>
        <w:jc w:val="center"/>
        <w:rPr>
          <w:rFonts w:ascii="宋体" w:hint="default"/>
          <w:b/>
          <w:sz w:val="24"/>
        </w:rPr>
      </w:pPr>
      <w:r>
        <w:rPr>
          <w:rFonts w:ascii="宋体" w:hAnsi="宋体" w:cs="宋体"/>
          <w:b/>
          <w:sz w:val="24"/>
        </w:rPr>
        <w:t>吉首大学2021年 “双一流"专项项目执行明细表</w:t>
      </w:r>
    </w:p>
    <w:p w:rsidR="00B87C8A" w:rsidRDefault="002D1C8A">
      <w:pPr>
        <w:ind w:right="420"/>
        <w:jc w:val="center"/>
        <w:rPr>
          <w:rFonts w:ascii="宋体" w:hint="default"/>
          <w:b/>
          <w:szCs w:val="21"/>
        </w:rPr>
      </w:pPr>
      <w:r>
        <w:rPr>
          <w:rFonts w:ascii="宋体" w:hAnsi="宋体" w:cs="宋体"/>
          <w:b/>
          <w:szCs w:val="21"/>
        </w:rPr>
        <w:t xml:space="preserve">                                                        单位：万元</w:t>
      </w:r>
    </w:p>
    <w:tbl>
      <w:tblPr>
        <w:tblpPr w:leftFromText="180" w:rightFromText="180" w:vertAnchor="text" w:horzAnchor="page" w:tblpX="1894" w:tblpY="84"/>
        <w:tblW w:w="8678" w:type="dxa"/>
        <w:tblLayout w:type="fixed"/>
        <w:tblLook w:val="04A0"/>
      </w:tblPr>
      <w:tblGrid>
        <w:gridCol w:w="1695"/>
        <w:gridCol w:w="1140"/>
        <w:gridCol w:w="2157"/>
        <w:gridCol w:w="1276"/>
        <w:gridCol w:w="1276"/>
        <w:gridCol w:w="1134"/>
      </w:tblGrid>
      <w:tr w:rsidR="00B87C8A">
        <w:trPr>
          <w:trHeight w:val="506"/>
        </w:trPr>
        <w:tc>
          <w:tcPr>
            <w:tcW w:w="1695" w:type="dxa"/>
            <w:tcBorders>
              <w:top w:val="single" w:sz="4" w:space="0" w:color="auto"/>
              <w:left w:val="single" w:sz="4" w:space="0" w:color="auto"/>
              <w:bottom w:val="single" w:sz="4" w:space="0" w:color="auto"/>
              <w:right w:val="single" w:sz="4" w:space="0" w:color="auto"/>
              <w:tl2br w:val="nil"/>
              <w:tr2bl w:val="nil"/>
            </w:tcBorders>
            <w:noWrap/>
            <w:vAlign w:val="center"/>
          </w:tcPr>
          <w:p w:rsidR="00B87C8A" w:rsidRDefault="002D1C8A">
            <w:pPr>
              <w:widowControl/>
              <w:ind w:firstLine="0"/>
              <w:jc w:val="center"/>
              <w:rPr>
                <w:rFonts w:ascii="宋体" w:cs="宋体" w:hint="default"/>
                <w:kern w:val="0"/>
                <w:sz w:val="24"/>
              </w:rPr>
            </w:pPr>
            <w:r>
              <w:rPr>
                <w:rFonts w:ascii="宋体" w:hAnsi="宋体" w:cs="宋体"/>
                <w:kern w:val="0"/>
                <w:sz w:val="24"/>
              </w:rPr>
              <w:t>类别</w:t>
            </w:r>
          </w:p>
        </w:tc>
        <w:tc>
          <w:tcPr>
            <w:tcW w:w="1140"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jc w:val="center"/>
              <w:rPr>
                <w:rFonts w:ascii="宋体" w:cs="宋体" w:hint="default"/>
                <w:kern w:val="0"/>
                <w:sz w:val="24"/>
              </w:rPr>
            </w:pPr>
            <w:r>
              <w:rPr>
                <w:rFonts w:ascii="宋体" w:hAnsi="宋体" w:cs="宋体"/>
                <w:kern w:val="0"/>
                <w:sz w:val="24"/>
              </w:rPr>
              <w:t>部门</w:t>
            </w:r>
          </w:p>
        </w:tc>
        <w:tc>
          <w:tcPr>
            <w:tcW w:w="2157"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jc w:val="center"/>
              <w:rPr>
                <w:rFonts w:ascii="宋体" w:cs="宋体" w:hint="default"/>
                <w:kern w:val="0"/>
                <w:sz w:val="24"/>
              </w:rPr>
            </w:pPr>
            <w:r>
              <w:rPr>
                <w:rFonts w:ascii="宋体" w:hAnsi="宋体" w:cs="宋体"/>
                <w:kern w:val="0"/>
                <w:sz w:val="24"/>
              </w:rPr>
              <w:t>项目名称</w:t>
            </w:r>
          </w:p>
        </w:tc>
        <w:tc>
          <w:tcPr>
            <w:tcW w:w="1276"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jc w:val="center"/>
              <w:rPr>
                <w:rFonts w:ascii="宋体" w:cs="宋体" w:hint="default"/>
                <w:kern w:val="0"/>
                <w:sz w:val="24"/>
              </w:rPr>
            </w:pPr>
            <w:r>
              <w:rPr>
                <w:rFonts w:ascii="宋体" w:hAnsi="宋体" w:cs="宋体"/>
                <w:kern w:val="0"/>
                <w:sz w:val="24"/>
              </w:rPr>
              <w:t>预算安排</w:t>
            </w:r>
          </w:p>
        </w:tc>
        <w:tc>
          <w:tcPr>
            <w:tcW w:w="1276"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jc w:val="center"/>
              <w:rPr>
                <w:rFonts w:ascii="宋体" w:cs="宋体" w:hint="default"/>
                <w:kern w:val="0"/>
                <w:sz w:val="24"/>
              </w:rPr>
            </w:pPr>
            <w:r>
              <w:rPr>
                <w:rFonts w:ascii="宋体" w:hAnsi="宋体" w:cs="宋体"/>
                <w:kern w:val="0"/>
                <w:sz w:val="24"/>
              </w:rPr>
              <w:t>预算执行</w:t>
            </w:r>
          </w:p>
        </w:tc>
        <w:tc>
          <w:tcPr>
            <w:tcW w:w="1134"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jc w:val="center"/>
              <w:rPr>
                <w:rFonts w:ascii="宋体" w:cs="宋体" w:hint="default"/>
                <w:kern w:val="0"/>
                <w:sz w:val="24"/>
              </w:rPr>
            </w:pPr>
            <w:r>
              <w:rPr>
                <w:rFonts w:ascii="宋体" w:hAnsi="宋体" w:cs="宋体"/>
                <w:kern w:val="0"/>
                <w:sz w:val="24"/>
              </w:rPr>
              <w:t>执行率</w:t>
            </w:r>
          </w:p>
        </w:tc>
      </w:tr>
      <w:tr w:rsidR="00B87C8A">
        <w:trPr>
          <w:trHeight w:val="735"/>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lastRenderedPageBreak/>
              <w:t>领军人才</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人事处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高层次人才特殊报酬</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3,187.00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2,288.37</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71.80%</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学科专业建设</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发规处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学科建设经费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285.00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259.35</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91.00%</w:t>
            </w:r>
          </w:p>
        </w:tc>
      </w:tr>
      <w:tr w:rsidR="00B87C8A">
        <w:trPr>
          <w:trHeight w:val="539"/>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学科专业建设</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教务处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专业建设</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649.00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599.47</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92.37%</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学科专业建设</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图书馆</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图书购置费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370.00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369.99</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100.00%</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教务处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大学生学科竞赛专项经费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240.00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234.57</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97.74%</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教务处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课程建设</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96.80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96.74</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99.93%</w:t>
            </w:r>
          </w:p>
        </w:tc>
      </w:tr>
      <w:tr w:rsidR="00B87C8A">
        <w:trPr>
          <w:trHeight w:val="539"/>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体育学院</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研究生暑期学校专项经费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15.00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12.60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84.00%</w:t>
            </w:r>
          </w:p>
        </w:tc>
      </w:tr>
      <w:tr w:rsidR="00B87C8A">
        <w:trPr>
          <w:trHeight w:val="72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化工学院</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省级研究生创新论坛</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5.00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5.00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100.00%</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团委</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挑战杯“大学生创业计划”专项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20.00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20.00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100.00%</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团委</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大学生社会实践</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25.00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25.00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100.00%</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研究生院</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省级研究生教育改革项目专项经费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14.30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7.00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48.95%</w:t>
            </w:r>
          </w:p>
        </w:tc>
      </w:tr>
    </w:tbl>
    <w:p w:rsidR="00B87C8A" w:rsidRDefault="00B87C8A">
      <w:pPr>
        <w:ind w:right="420"/>
        <w:jc w:val="center"/>
        <w:rPr>
          <w:rFonts w:ascii="宋体" w:hint="default"/>
          <w:b/>
          <w:szCs w:val="21"/>
        </w:rPr>
      </w:pPr>
    </w:p>
    <w:tbl>
      <w:tblPr>
        <w:tblpPr w:leftFromText="180" w:rightFromText="180" w:vertAnchor="text" w:horzAnchor="page" w:tblpX="1894" w:tblpY="84"/>
        <w:tblW w:w="8678" w:type="dxa"/>
        <w:tblLayout w:type="fixed"/>
        <w:tblLook w:val="04A0"/>
      </w:tblPr>
      <w:tblGrid>
        <w:gridCol w:w="1695"/>
        <w:gridCol w:w="1140"/>
        <w:gridCol w:w="2157"/>
        <w:gridCol w:w="1276"/>
        <w:gridCol w:w="1276"/>
        <w:gridCol w:w="1134"/>
      </w:tblGrid>
      <w:tr w:rsidR="00B87C8A">
        <w:trPr>
          <w:trHeight w:val="540"/>
        </w:trPr>
        <w:tc>
          <w:tcPr>
            <w:tcW w:w="1695" w:type="dxa"/>
            <w:tcBorders>
              <w:top w:val="single" w:sz="4" w:space="0" w:color="auto"/>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研究生院</w:t>
            </w:r>
          </w:p>
        </w:tc>
        <w:tc>
          <w:tcPr>
            <w:tcW w:w="2157"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省级研究生创新基地及创新项目专项经费</w:t>
            </w:r>
          </w:p>
        </w:tc>
        <w:tc>
          <w:tcPr>
            <w:tcW w:w="1276"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46.00</w:t>
            </w:r>
          </w:p>
        </w:tc>
        <w:tc>
          <w:tcPr>
            <w:tcW w:w="1276"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36.22</w:t>
            </w:r>
          </w:p>
        </w:tc>
        <w:tc>
          <w:tcPr>
            <w:tcW w:w="1134" w:type="dxa"/>
            <w:tcBorders>
              <w:top w:val="single" w:sz="4" w:space="0" w:color="auto"/>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78.74%</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创新人才培养</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招就处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互联网+竞赛专项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20.00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8.49</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42.47%</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科学研究</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科技处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科研平台运行经费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41.50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41.50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100.00%</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科学研究</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科技处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校级、教育厅课题</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133.04</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130.81</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98.32%</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科学研究</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社会科学处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教育厅课题经费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80.75</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73.37</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90.87%</w:t>
            </w:r>
          </w:p>
        </w:tc>
      </w:tr>
      <w:tr w:rsidR="00B87C8A">
        <w:trPr>
          <w:trHeight w:val="540"/>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科学研究</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社会科学处</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科研平台运行经费</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78.00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76.33</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97.86%</w:t>
            </w:r>
          </w:p>
        </w:tc>
      </w:tr>
      <w:tr w:rsidR="00B87C8A">
        <w:trPr>
          <w:trHeight w:val="615"/>
        </w:trPr>
        <w:tc>
          <w:tcPr>
            <w:tcW w:w="1695"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思想文化传承</w:t>
            </w:r>
          </w:p>
        </w:tc>
        <w:tc>
          <w:tcPr>
            <w:tcW w:w="1140"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宣传部</w:t>
            </w:r>
          </w:p>
        </w:tc>
        <w:tc>
          <w:tcPr>
            <w:tcW w:w="2157"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双一流思政方向</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20.00</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cs="宋体"/>
                <w:kern w:val="0"/>
                <w:sz w:val="20"/>
                <w:szCs w:val="20"/>
              </w:rPr>
              <w:t>0.00</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0.00%</w:t>
            </w:r>
          </w:p>
        </w:tc>
      </w:tr>
      <w:tr w:rsidR="00B87C8A">
        <w:trPr>
          <w:trHeight w:val="540"/>
        </w:trPr>
        <w:tc>
          <w:tcPr>
            <w:tcW w:w="4992" w:type="dxa"/>
            <w:gridSpan w:val="3"/>
            <w:tcBorders>
              <w:top w:val="single" w:sz="4" w:space="0" w:color="auto"/>
              <w:left w:val="single" w:sz="4" w:space="0" w:color="auto"/>
              <w:bottom w:val="single" w:sz="4" w:space="0" w:color="auto"/>
              <w:right w:val="single" w:sz="4" w:space="0" w:color="000000"/>
              <w:tl2br w:val="nil"/>
              <w:tr2bl w:val="nil"/>
            </w:tcBorders>
            <w:noWrap/>
            <w:vAlign w:val="center"/>
          </w:tcPr>
          <w:p w:rsidR="00B87C8A" w:rsidRDefault="002D1C8A">
            <w:pPr>
              <w:widowControl/>
              <w:ind w:firstLine="0"/>
              <w:jc w:val="center"/>
              <w:rPr>
                <w:rFonts w:ascii="宋体" w:cs="宋体" w:hint="default"/>
                <w:kern w:val="0"/>
                <w:sz w:val="20"/>
                <w:szCs w:val="20"/>
              </w:rPr>
            </w:pPr>
            <w:r>
              <w:rPr>
                <w:rFonts w:ascii="宋体" w:hAnsi="宋体" w:cs="宋体"/>
                <w:kern w:val="0"/>
                <w:sz w:val="20"/>
                <w:szCs w:val="20"/>
              </w:rPr>
              <w:t>合  计</w:t>
            </w:r>
          </w:p>
        </w:tc>
        <w:tc>
          <w:tcPr>
            <w:tcW w:w="1276" w:type="dxa"/>
            <w:tcBorders>
              <w:top w:val="nil"/>
              <w:left w:val="single" w:sz="4" w:space="0" w:color="auto"/>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5,326.39</w:t>
            </w:r>
          </w:p>
        </w:tc>
        <w:tc>
          <w:tcPr>
            <w:tcW w:w="1276"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4,284.82</w:t>
            </w:r>
          </w:p>
        </w:tc>
        <w:tc>
          <w:tcPr>
            <w:tcW w:w="1134" w:type="dxa"/>
            <w:tcBorders>
              <w:top w:val="nil"/>
              <w:left w:val="nil"/>
              <w:bottom w:val="single" w:sz="4" w:space="0" w:color="auto"/>
              <w:right w:val="single" w:sz="4" w:space="0" w:color="auto"/>
              <w:tl2br w:val="nil"/>
              <w:tr2bl w:val="nil"/>
            </w:tcBorders>
            <w:noWrap/>
            <w:vAlign w:val="center"/>
          </w:tcPr>
          <w:p w:rsidR="00B87C8A" w:rsidRDefault="002D1C8A">
            <w:pPr>
              <w:widowControl/>
              <w:ind w:firstLine="0"/>
              <w:rPr>
                <w:rFonts w:ascii="宋体" w:cs="宋体" w:hint="default"/>
                <w:kern w:val="0"/>
                <w:sz w:val="20"/>
                <w:szCs w:val="20"/>
              </w:rPr>
            </w:pPr>
            <w:r>
              <w:rPr>
                <w:rFonts w:ascii="宋体" w:hAnsi="宋体" w:cs="宋体"/>
                <w:kern w:val="0"/>
                <w:sz w:val="20"/>
                <w:szCs w:val="20"/>
              </w:rPr>
              <w:t>80.45%</w:t>
            </w:r>
          </w:p>
        </w:tc>
      </w:tr>
    </w:tbl>
    <w:p w:rsidR="00B87C8A" w:rsidRDefault="00B87C8A">
      <w:pPr>
        <w:adjustRightInd w:val="0"/>
        <w:snapToGrid w:val="0"/>
        <w:rPr>
          <w:rFonts w:ascii="宋体" w:hint="default"/>
          <w:sz w:val="18"/>
          <w:szCs w:val="18"/>
        </w:rPr>
      </w:pPr>
    </w:p>
    <w:p w:rsidR="00B87C8A" w:rsidRDefault="00B87C8A">
      <w:pPr>
        <w:adjustRightInd w:val="0"/>
        <w:snapToGrid w:val="0"/>
        <w:ind w:leftChars="1300" w:left="2730" w:firstLineChars="200" w:firstLine="360"/>
        <w:jc w:val="center"/>
        <w:rPr>
          <w:rFonts w:ascii="宋体" w:hint="default"/>
          <w:sz w:val="18"/>
          <w:szCs w:val="18"/>
        </w:rPr>
      </w:pPr>
    </w:p>
    <w:p w:rsidR="00B87C8A" w:rsidRDefault="002D1C8A">
      <w:pPr>
        <w:adjustRightInd w:val="0"/>
        <w:snapToGrid w:val="0"/>
        <w:spacing w:line="360" w:lineRule="auto"/>
        <w:ind w:firstLineChars="200" w:firstLine="560"/>
        <w:rPr>
          <w:rFonts w:ascii="宋体" w:hint="default"/>
          <w:sz w:val="28"/>
          <w:szCs w:val="28"/>
        </w:rPr>
      </w:pPr>
      <w:r>
        <w:rPr>
          <w:rFonts w:ascii="宋体" w:hAnsi="宋体" w:cs="宋体"/>
          <w:sz w:val="28"/>
          <w:szCs w:val="28"/>
        </w:rPr>
        <w:t>双一流专项项目执行率为80.45%，主要影响因素是学科、科研、思政课题等项目有2-3年的项目执行建设周期，留有部分经费用于后期相</w:t>
      </w:r>
      <w:r>
        <w:rPr>
          <w:rFonts w:ascii="宋体" w:hAnsi="宋体" w:cs="宋体"/>
          <w:sz w:val="28"/>
          <w:szCs w:val="28"/>
        </w:rPr>
        <w:lastRenderedPageBreak/>
        <w:t>关事项开支。</w:t>
      </w:r>
    </w:p>
    <w:p w:rsidR="00B87C8A" w:rsidRDefault="002D1C8A">
      <w:pPr>
        <w:spacing w:line="360" w:lineRule="auto"/>
        <w:ind w:firstLineChars="200" w:firstLine="562"/>
        <w:rPr>
          <w:rFonts w:ascii="宋体" w:cs="黑体" w:hint="default"/>
          <w:kern w:val="0"/>
          <w:sz w:val="28"/>
          <w:szCs w:val="28"/>
        </w:rPr>
      </w:pPr>
      <w:r>
        <w:rPr>
          <w:rFonts w:ascii="宋体" w:hAnsi="宋体" w:cs="宋体"/>
          <w:b/>
          <w:kern w:val="0"/>
          <w:sz w:val="28"/>
          <w:szCs w:val="28"/>
        </w:rPr>
        <w:t>（三）2021年度主要工作成效</w:t>
      </w:r>
    </w:p>
    <w:p w:rsidR="00B87C8A" w:rsidRDefault="002D1C8A">
      <w:pPr>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1、坚持党的领导 加强党建引领</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认真落实中央和省委加强政治建设的各项要求，学习宣传贯彻党的十九届六中全会精神、湖南省第十二次党代会精神，忠诚拥护“两个确立”、坚决做到“两个维护”、树牢“四个意识”、坚定“四个自信”，坚持“立德树人”根本任务。着力加强党建工作，成立了机关党委，不断加强机关党支部的建设，推进党建品牌活动体系化建设，围绕党史学习教育组织开展了党史学习“六百工程”。</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2、大力弘扬社会主义核心价值观</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大力弘扬社会主义核心价值观。积极推进“三全育人”综合改革，深入实施“五育人工程”，持续开展“万名师生走进武陵山”社会实践服务品牌活动，获评全国“优秀单位”、“优秀团队”。积极开展思想政治理论课调查研究，建立了严密的网络媒体管理监控体系。</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3、制度体制不断深化</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制定了《吉首大学贯彻落实&lt;深化落实新时代教育评价改革总体方案&gt;的工作方案》《吉首大学一流本科专业建设管理办法》《吉首大学学位评定委员会章程》，修订了《吉首大学教学奖励办法》《吉首大学研究生学籍管理规定》。积极推进学校“十四五”及中长期发展规划的编制工作，制订了《吉首大学编制十四五规划推进方案》，出台了《中共吉首大学委员会关于制定学校“十四五”发展规划和二〇三五年远景目标的意见》。</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4、学科建设稳步推进</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按照“整密联系、统筹兼顾、分层择优、整合申报”的原则，做好</w:t>
      </w:r>
      <w:r>
        <w:rPr>
          <w:rFonts w:ascii="宋体" w:hAnsi="宋体" w:cs="宋体"/>
          <w:kern w:val="0"/>
          <w:sz w:val="28"/>
          <w:szCs w:val="28"/>
        </w:rPr>
        <w:lastRenderedPageBreak/>
        <w:t>了体育学、民族学、生态学等12个学科参评第五轮学科评估申报工作，以之促进学科布局的进一步优化。实施学位点动态调整和培育计划，申报获得“信息与通信工程”一级学科硕士点，“生物与医药”“材料与化工”“资源与环境”“风景园林”等4个专业学位授权类别，撤销“哲学”和“林业工程”等2个一级学科硕士点，增列“新闻传播学”和“基础医学”等2个一级学科硕士点。</w:t>
      </w:r>
    </w:p>
    <w:p w:rsidR="00B87C8A" w:rsidRDefault="002D1C8A">
      <w:pPr>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5、专业建设不断加强</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目前已立项8个国家级一流专业建设点，24个省级一流专业，2021年组织、指导学院申报省级国家级一流本科专业，经济学、思想政治教育等21个专业获推荐参评国家级一流专业。同时加强专业课程建设改革，《花样跳绳》等36门课程被认定为湖南省一流本科课程，积极推进汉语言文学和食品科学与技术专业认证。适当控制招生专业，对专业评估不合格、社会需求不旺盛、招生就业形势不好、专业办学水平不高的19个专业进行了停招。</w:t>
      </w:r>
    </w:p>
    <w:p w:rsidR="00B87C8A" w:rsidRDefault="002D1C8A">
      <w:pPr>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 xml:space="preserve">   6、人才培养成果突出                                                        </w:t>
      </w:r>
    </w:p>
    <w:p w:rsidR="00B87C8A" w:rsidRDefault="002D1C8A">
      <w:pPr>
        <w:adjustRightInd w:val="0"/>
        <w:snapToGrid w:val="0"/>
        <w:spacing w:line="360" w:lineRule="auto"/>
        <w:ind w:firstLineChars="200" w:firstLine="560"/>
        <w:rPr>
          <w:rFonts w:ascii="宋体" w:cs="黑体" w:hint="default"/>
          <w:kern w:val="0"/>
          <w:sz w:val="28"/>
          <w:szCs w:val="28"/>
        </w:rPr>
      </w:pPr>
      <w:r>
        <w:rPr>
          <w:rFonts w:ascii="宋体" w:hAnsi="宋体" w:cs="宋体"/>
          <w:kern w:val="0"/>
          <w:sz w:val="28"/>
          <w:szCs w:val="28"/>
        </w:rPr>
        <w:t>组织大学生研究性学习和创新性实验计划项目申报工作，获国家级29项、省级59项，立项情况为我校历年最好。组织学生参加省级及以上学科竞赛，截至目前，共获省级国家级奖项650项，其中国家级一等奖10项，二等奖37项，三等奖50项，省级特等奖4项、一等奖101项、二等奖191项、三等奖257项。学生在“互联网+”创业大赛中获国家级铜奖1项、省级二等奖1项、三等奖2项。在“挑战杯”竞赛中获全国一等奖1项，三等奖1项，两项作品入围全国主赛道终审决赛，实现了社科类作品全国挑战杯一等奖的历史性突破，获省级一等奖2项、二等奖3项、三等奖7项，学校获评省赛“优胜杯”，分获主赛道和红</w:t>
      </w:r>
      <w:r>
        <w:rPr>
          <w:rFonts w:ascii="宋体" w:hAnsi="宋体" w:cs="宋体"/>
          <w:kern w:val="0"/>
          <w:sz w:val="28"/>
          <w:szCs w:val="28"/>
        </w:rPr>
        <w:lastRenderedPageBreak/>
        <w:t>色赛道两个“优秀组织奖”。素质教育不断推进，本年度开出线下通识选修课程152门，其中新开课程30门；与超星、智慧树等公司合作，开出线上通识选修课程100门。选修学生人次高达52962。扎实推进“双百工程”，举行了佳片鉴赏会、电影沙龙、主题电影衍生创作大赛、名著读书会等活动。举办了5期“立人读书沙龙”，邀请刘海平、武吉蓉等校内外专家学者进行讲座，得到参与师生的一致肯定。</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7、科研与社会服务再上新台阶</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紧扣湖南“三高四新”战略，促进科技成果就地转化，全年科研课题立项287项，获项目经费2368.38万元，其中国家自科基金项目20项，国家社科基金项目16项，重点项目1项。“沈从文与湘西文艺研究中心”“武陵山区乡村振兴与区域发展研究中心”2个平台获批新立项，“乡村振兴研究中心”获批湖南省社会科学创新研究基地。获省优秀青年社会科学专家1名，省优秀社科成果奖23项，省自然科学奖5项。学报两刊学术质量稳中有升，各类文献计量评价数据位居同类期刊前列。主动聚焦乡村振兴战略，建立了与永顺县润雅乡五官村的上下联动及振兴帮扶工作机制，助力永顺莓茶产业的发展。充分发挥“湖南乡村振兴战略研究中心”“武陵山区发展论坛”等平台的作用，围绕乡村振兴、民族团结进步创建、筑牢中华民族共同体意识等开展20多场次辅导报告、学术讲座和咨询服务。全面深化校地合作，建立校地合作联席会议机制，成立校地合作工作专班推动校地合作具体事项落地落实。</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8、人才队伍素质明显提升</w:t>
      </w:r>
    </w:p>
    <w:p w:rsidR="00B87C8A" w:rsidRDefault="002D1C8A">
      <w:pPr>
        <w:spacing w:line="360" w:lineRule="auto"/>
        <w:ind w:firstLineChars="200" w:firstLine="560"/>
        <w:rPr>
          <w:rFonts w:ascii="宋体" w:cs="黑体" w:hint="default"/>
          <w:kern w:val="0"/>
          <w:sz w:val="28"/>
          <w:szCs w:val="28"/>
        </w:rPr>
      </w:pPr>
      <w:r>
        <w:rPr>
          <w:rFonts w:ascii="宋体" w:hAnsi="宋体" w:cs="宋体"/>
          <w:kern w:val="0"/>
          <w:sz w:val="28"/>
          <w:szCs w:val="28"/>
        </w:rPr>
        <w:t>全年引进博士10名，推荐、考取博士25人，学成返校博士18人。以效率为导向，兼顾历史贡献，修订完善了俊彦人才计划，提高了入选门槛，明确了入选期间的任务要求，启动俊彦人才工程的阶段性和聘期</w:t>
      </w:r>
      <w:r>
        <w:rPr>
          <w:rFonts w:ascii="宋体" w:hAnsi="宋体" w:cs="宋体"/>
          <w:kern w:val="0"/>
          <w:sz w:val="28"/>
          <w:szCs w:val="28"/>
        </w:rPr>
        <w:lastRenderedPageBreak/>
        <w:t>考核，稳定了一批学科带头人和学术骨干。全年共办理60余人的教育培训审批手续，考取博士24人；教育部2021年“高校思想政治工作骨干在职攻读博士学位专项计划”项目推荐1人；实施课程进修和学术访问4人。资助：省芙蓉学者9人、省芙蓉教学名师1人、湖湘青年英才支持计划4人、湖湘高层次人才聚集工程1人、高端人才1人、30名教师获湖南省青年骨干教师。</w:t>
      </w:r>
    </w:p>
    <w:p w:rsidR="00B87C8A" w:rsidRDefault="00B87C8A">
      <w:pPr>
        <w:spacing w:line="360" w:lineRule="auto"/>
        <w:ind w:firstLineChars="200" w:firstLine="560"/>
        <w:rPr>
          <w:rFonts w:ascii="宋体" w:cs="黑体" w:hint="default"/>
          <w:kern w:val="0"/>
          <w:sz w:val="28"/>
          <w:szCs w:val="28"/>
        </w:rPr>
      </w:pPr>
    </w:p>
    <w:p w:rsidR="00B87C8A" w:rsidRDefault="00B87C8A">
      <w:pPr>
        <w:autoSpaceDE w:val="0"/>
        <w:autoSpaceDN w:val="0"/>
        <w:adjustRightInd w:val="0"/>
        <w:spacing w:line="360" w:lineRule="auto"/>
        <w:ind w:firstLineChars="200" w:firstLine="640"/>
        <w:rPr>
          <w:rFonts w:ascii="宋体" w:hAnsi="Times New Roman" w:cs="宋体" w:hint="default"/>
          <w:sz w:val="32"/>
          <w:szCs w:val="32"/>
        </w:rPr>
      </w:pPr>
    </w:p>
    <w:p w:rsidR="00B87C8A" w:rsidRDefault="00B87C8A">
      <w:pPr>
        <w:keepNext/>
        <w:keepLines/>
        <w:autoSpaceDE w:val="0"/>
        <w:autoSpaceDN w:val="0"/>
        <w:adjustRightInd w:val="0"/>
        <w:spacing w:line="360" w:lineRule="auto"/>
        <w:ind w:firstLineChars="200" w:firstLine="560"/>
        <w:rPr>
          <w:rFonts w:ascii="宋体" w:hAnsi="宋体" w:cs="宋体" w:hint="default"/>
          <w:kern w:val="0"/>
          <w:sz w:val="28"/>
          <w:szCs w:val="28"/>
        </w:rPr>
        <w:sectPr w:rsidR="00B87C8A">
          <w:pgSz w:w="12240" w:h="15840"/>
          <w:pgMar w:top="1440" w:right="1800" w:bottom="1440" w:left="1800" w:header="720" w:footer="720" w:gutter="0"/>
          <w:cols w:space="720"/>
        </w:sectPr>
      </w:pPr>
    </w:p>
    <w:p w:rsidR="00B87C8A" w:rsidRDefault="00B87C8A">
      <w:pPr>
        <w:keepNext/>
        <w:keepLines/>
        <w:autoSpaceDE w:val="0"/>
        <w:autoSpaceDN w:val="0"/>
        <w:adjustRightInd w:val="0"/>
        <w:ind w:firstLine="0"/>
        <w:rPr>
          <w:rFonts w:ascii="黑体" w:eastAsia="黑体" w:cs="黑体" w:hint="default"/>
          <w:sz w:val="84"/>
          <w:szCs w:val="84"/>
        </w:rPr>
      </w:pPr>
    </w:p>
    <w:p w:rsidR="00B87C8A" w:rsidRDefault="00B87C8A">
      <w:pPr>
        <w:keepNext/>
        <w:keepLines/>
        <w:autoSpaceDE w:val="0"/>
        <w:autoSpaceDN w:val="0"/>
        <w:adjustRightInd w:val="0"/>
        <w:ind w:firstLine="0"/>
        <w:rPr>
          <w:rFonts w:ascii="黑体" w:eastAsia="黑体" w:cs="黑体" w:hint="default"/>
          <w:sz w:val="84"/>
          <w:szCs w:val="84"/>
        </w:rPr>
      </w:pPr>
    </w:p>
    <w:p w:rsidR="00B87C8A" w:rsidRDefault="00B87C8A">
      <w:pPr>
        <w:keepNext/>
        <w:keepLines/>
        <w:autoSpaceDE w:val="0"/>
        <w:autoSpaceDN w:val="0"/>
        <w:adjustRightInd w:val="0"/>
        <w:ind w:firstLine="0"/>
        <w:rPr>
          <w:rFonts w:ascii="黑体" w:eastAsia="黑体" w:cs="黑体" w:hint="default"/>
          <w:sz w:val="84"/>
          <w:szCs w:val="84"/>
        </w:rPr>
      </w:pPr>
    </w:p>
    <w:p w:rsidR="00B87C8A" w:rsidRDefault="002D1C8A">
      <w:pPr>
        <w:keepNext/>
        <w:keepLines/>
        <w:autoSpaceDE w:val="0"/>
        <w:autoSpaceDN w:val="0"/>
        <w:adjustRightInd w:val="0"/>
        <w:ind w:firstLine="0"/>
        <w:jc w:val="center"/>
        <w:rPr>
          <w:rFonts w:ascii="黑体" w:eastAsia="黑体" w:cs="黑体" w:hint="default"/>
          <w:sz w:val="84"/>
          <w:szCs w:val="84"/>
        </w:rPr>
      </w:pPr>
      <w:r>
        <w:rPr>
          <w:rFonts w:ascii="黑体" w:eastAsia="黑体" w:cs="黑体"/>
          <w:sz w:val="84"/>
          <w:szCs w:val="84"/>
        </w:rPr>
        <w:t>第四部分</w:t>
      </w:r>
    </w:p>
    <w:p w:rsidR="00B87C8A" w:rsidRDefault="002D1C8A" w:rsidP="003F0F38">
      <w:pPr>
        <w:keepNext/>
        <w:keepLines/>
        <w:autoSpaceDE w:val="0"/>
        <w:autoSpaceDN w:val="0"/>
        <w:adjustRightInd w:val="0"/>
        <w:spacing w:beforeLines="100"/>
        <w:ind w:firstLine="0"/>
        <w:jc w:val="center"/>
        <w:rPr>
          <w:rFonts w:ascii="Times New Roman" w:eastAsia="黑体" w:hAnsi="Times New Roman" w:hint="default"/>
          <w:sz w:val="84"/>
          <w:szCs w:val="84"/>
        </w:rPr>
      </w:pPr>
      <w:r>
        <w:rPr>
          <w:rFonts w:ascii="黑体" w:eastAsia="黑体" w:cs="黑体"/>
          <w:sz w:val="84"/>
          <w:szCs w:val="84"/>
        </w:rPr>
        <w:t>名词解释</w:t>
      </w:r>
    </w:p>
    <w:p w:rsidR="00B87C8A" w:rsidRDefault="00B87C8A">
      <w:pPr>
        <w:keepNext/>
        <w:keepLines/>
        <w:autoSpaceDE w:val="0"/>
        <w:autoSpaceDN w:val="0"/>
        <w:adjustRightInd w:val="0"/>
        <w:spacing w:line="360" w:lineRule="auto"/>
        <w:ind w:firstLine="0"/>
        <w:rPr>
          <w:rFonts w:ascii="宋体" w:hAnsi="宋体" w:cs="宋体" w:hint="default"/>
          <w:kern w:val="0"/>
          <w:sz w:val="28"/>
          <w:szCs w:val="28"/>
        </w:rPr>
        <w:sectPr w:rsidR="00B87C8A">
          <w:pgSz w:w="12240" w:h="15840"/>
          <w:pgMar w:top="1440" w:right="1800" w:bottom="1440" w:left="1800" w:header="720" w:footer="720" w:gutter="0"/>
          <w:cols w:space="720"/>
        </w:sectPr>
      </w:pP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lastRenderedPageBreak/>
        <w:t>财政拨款收入：指本级财政当年拨付的资金。</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事业收入：指事业单位开展专业业务活动及辅助活动所取得的收入。</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其他收入：指除上述</w:t>
      </w:r>
      <w:r>
        <w:rPr>
          <w:rFonts w:ascii="宋体" w:cs="黑体"/>
          <w:kern w:val="0"/>
          <w:sz w:val="28"/>
          <w:szCs w:val="28"/>
        </w:rPr>
        <w:t>“</w:t>
      </w:r>
      <w:r>
        <w:rPr>
          <w:rFonts w:ascii="宋体" w:hAnsi="宋体" w:cs="宋体"/>
          <w:kern w:val="0"/>
          <w:sz w:val="28"/>
          <w:szCs w:val="28"/>
        </w:rPr>
        <w:t>财政拨款收入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上级补助收入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事业收入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经营收入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附属单位上缴收入</w:t>
      </w:r>
      <w:r>
        <w:rPr>
          <w:rFonts w:ascii="宋体" w:cs="黑体"/>
          <w:kern w:val="0"/>
          <w:sz w:val="28"/>
          <w:szCs w:val="28"/>
        </w:rPr>
        <w:t>”</w:t>
      </w:r>
      <w:r>
        <w:rPr>
          <w:rFonts w:ascii="宋体" w:hAnsi="宋体" w:cs="宋体"/>
          <w:kern w:val="0"/>
          <w:sz w:val="28"/>
          <w:szCs w:val="28"/>
        </w:rPr>
        <w:t>等以外的收入。</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使用非财政拨款结余：指事业单位在当年的</w:t>
      </w:r>
      <w:r>
        <w:rPr>
          <w:rFonts w:ascii="宋体" w:cs="黑体"/>
          <w:kern w:val="0"/>
          <w:sz w:val="28"/>
          <w:szCs w:val="28"/>
        </w:rPr>
        <w:t>“</w:t>
      </w:r>
      <w:r>
        <w:rPr>
          <w:rFonts w:ascii="宋体" w:hAnsi="宋体" w:cs="宋体"/>
          <w:kern w:val="0"/>
          <w:sz w:val="28"/>
          <w:szCs w:val="28"/>
        </w:rPr>
        <w:t>财政拨款收入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财政拨款结转和结余资金</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上级补助收入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事业收入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经营收入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附属单位上缴收入</w:t>
      </w:r>
      <w:r>
        <w:rPr>
          <w:rFonts w:ascii="宋体" w:cs="黑体"/>
          <w:kern w:val="0"/>
          <w:sz w:val="28"/>
          <w:szCs w:val="28"/>
        </w:rPr>
        <w:t>”</w:t>
      </w:r>
      <w:r>
        <w:rPr>
          <w:rFonts w:ascii="宋体" w:hAnsi="宋体" w:cs="宋体"/>
          <w:kern w:val="0"/>
          <w:sz w:val="28"/>
          <w:szCs w:val="28"/>
        </w:rPr>
        <w:t>、</w:t>
      </w:r>
      <w:r>
        <w:rPr>
          <w:rFonts w:ascii="宋体" w:cs="黑体"/>
          <w:kern w:val="0"/>
          <w:sz w:val="28"/>
          <w:szCs w:val="28"/>
        </w:rPr>
        <w:t>“</w:t>
      </w:r>
      <w:r>
        <w:rPr>
          <w:rFonts w:ascii="宋体" w:hAnsi="宋体" w:cs="宋体"/>
          <w:kern w:val="0"/>
          <w:sz w:val="28"/>
          <w:szCs w:val="28"/>
        </w:rPr>
        <w:t>其他收入</w:t>
      </w:r>
      <w:r>
        <w:rPr>
          <w:rFonts w:ascii="宋体" w:cs="黑体"/>
          <w:kern w:val="0"/>
          <w:sz w:val="28"/>
          <w:szCs w:val="28"/>
        </w:rPr>
        <w:t>”</w:t>
      </w:r>
      <w:r>
        <w:rPr>
          <w:rFonts w:ascii="宋体" w:hAnsi="宋体" w:cs="宋体"/>
          <w:kern w:val="0"/>
          <w:sz w:val="28"/>
          <w:szCs w:val="28"/>
        </w:rPr>
        <w:t>不足以安排当年支出情况下，使用以前年度积累的使用非财政拨款结余弥补收支差额的资金（事业单位当年收支相抵后按国家规定提取、用于弥补以后年度收支差额的非财政拨款结余）。</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上年结转和结余：指以前年度尚未完成、结转到本年按有关规定继续使用的资金。</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年末结转和结余资金：指本年度或以前年度预算安排、因客观条件发生变化无法按原计划实施，需要延迟到以后年度按有关规定继续使用的资金。</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lastRenderedPageBreak/>
        <w:t>教育支出（类）：是指用于政府教育事务支出，包括保障机构正常运转、完成日常和特定的工作任务或事业发展目标的支出。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科学技术支出（类）：是指用于科学技术方面的支出，包括保障机构正常运转、完成日常和特定的工作任务或事业发展目标的支出。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文化体育与传媒支出（类）：是指用于文化、文物、体育、新闻出版广播影视等方面的支出，包括保障机构正常运转、完成日常和特定的工作任务或事业发展目标的支出。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卫生健康支出（类）：是指用于医疗卫生与计划生育方面的支出，包括保障机构正常运转、完成日常和特定的工作任务或事业发展目标的支出。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住房保障支出（类）：是指用于住房方面的支出，包括保障机构正常运转、完成日常和特定的工作任务或事业发展目标的支出。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基本支出：指保障机构正常运转、完成支日常工作任务而发生的人员支出和公用支出。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项目支出：指在基本支出之外为完成特定行政任务和事业发展目标所发生的支出。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cs="黑体"/>
          <w:kern w:val="0"/>
          <w:sz w:val="28"/>
          <w:szCs w:val="28"/>
        </w:rPr>
        <w:lastRenderedPageBreak/>
        <w:t>“</w:t>
      </w:r>
      <w:r>
        <w:rPr>
          <w:rFonts w:ascii="宋体" w:hAnsi="宋体" w:cs="宋体"/>
          <w:kern w:val="0"/>
          <w:sz w:val="28"/>
          <w:szCs w:val="28"/>
        </w:rPr>
        <w:t>三公</w:t>
      </w:r>
      <w:r>
        <w:rPr>
          <w:rFonts w:ascii="宋体" w:cs="黑体"/>
          <w:kern w:val="0"/>
          <w:sz w:val="28"/>
          <w:szCs w:val="28"/>
        </w:rPr>
        <w:t>”</w:t>
      </w:r>
      <w:r>
        <w:rPr>
          <w:rFonts w:ascii="宋体" w:hAnsi="宋体" w:cs="宋体"/>
          <w:kern w:val="0"/>
          <w:sz w:val="28"/>
          <w:szCs w:val="28"/>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工资福利支出：反映单位开支的在职职工和编制外长期聘用人员的各类劳动报酬，以及为上述人员缴纳的各项社会保险费等。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津贴补贴：反映经国家批准建立的机关事业单位艰苦边远地区津贴、机关工作人员地区附加津贴、机关工作人员岗位津贴、事业单位工作人员特殊岗位津贴补贴等。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绩效工资：反映事业单位工作人员的绩效工资。</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机关事业单位基本养老保险缴费：反映机关事业单位缴纳的基本养老保险费。由单位代扣的工作人员基本养老保险缴费，不在此科目反映。</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lastRenderedPageBreak/>
        <w:t>职工基本医疗保险缴费：反映单位为职工缴纳的基本医疗保险费。</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其他社会保障缴费：反映单位为职工缴纳的基本医疗、失业、工伤、生育等社会保险费，残疾人就业保障金，军队（含武警）为军人缴纳的伤亡、退役医疗等社会保险费。</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住房公积金：反映行政事业单位按人力资源和社会保障部、财政部规定的基本工资和津贴补贴以及规定比例为职工缴纳的住房公积金。</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商品和服务支出：反映单位购买商品和服务的支出（不包括用于购置固定资产的支出、战略性和应急储备支出）。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办公费：反映单位购买按财务会计制度规定不符合固定资产确认标准的日常办公用品、书报杂志等支出。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印刷费：反映单位的印刷费支出。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邮电费：反映单位开支的信函、包裹、货物等物品的邮寄费及电话费、电报费、传真费、网络通讯费等。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物业管理费：反映单位开支的办公用房以及未实行职工住宅物业服务改革的在职职工和离退休人员宿舍等的物业管理费，包括综合治理、绿化、卫生等方面的支出。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差旅费：反映单位工作人员出差发生的城市间交通费、住宿费、伙食补贴费和市内交通费。</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公务接待费：反映单位按规定开支的各类公务接待（含外宾接待）费用。</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lastRenderedPageBreak/>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劳务费：反映支付给单位和个人的劳务费用，如临时聘用人员、钟点工工资，稿费、翻译费，评审费等。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委托业务费：反映因委托外单位办理业务而支付的委托业务费。</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其他交通费用：反映单位除公务用车运行维护费以外的其他交通费用。如公务交通补贴，租车费用、出租车费用，飞机、船舶等的燃料费、维修费、保险费等。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其他商品和服务支出：反映上述科目未包括的日常公用支出。如行政赔偿费和诉讼费、国内组织的会员费、来访费、广告宣传、其他劳务费及离休人员特需费、公用经费等。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对个人和家庭的补助：反映政府用于对个人和家庭的补助支出。</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离休费：反映行政事业单位和军队移交政府安置的离休人员的离休费、护理费和其他补贴。</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抚恤金：反映按规定开支的烈士遗属、牺牲病故人员遗属的一次性和定期抚恤金，伤残人员的抚恤金，离退休人员等其他人员的各项抚恤金。</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B87C8A" w:rsidRDefault="002D1C8A">
      <w:pPr>
        <w:keepNext/>
        <w:keepLines/>
        <w:autoSpaceDE w:val="0"/>
        <w:autoSpaceDN w:val="0"/>
        <w:adjustRightInd w:val="0"/>
        <w:spacing w:line="360" w:lineRule="auto"/>
        <w:ind w:firstLineChars="200" w:firstLine="560"/>
        <w:rPr>
          <w:rFonts w:ascii="宋体" w:cs="黑体" w:hint="default"/>
          <w:kern w:val="0"/>
          <w:sz w:val="28"/>
          <w:szCs w:val="28"/>
        </w:rPr>
      </w:pPr>
      <w:r>
        <w:rPr>
          <w:rFonts w:ascii="宋体" w:hAnsi="宋体" w:cs="宋体"/>
          <w:kern w:val="0"/>
          <w:sz w:val="28"/>
          <w:szCs w:val="28"/>
        </w:rPr>
        <w:lastRenderedPageBreak/>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B87C8A" w:rsidRDefault="00B87C8A">
      <w:pPr>
        <w:keepNext/>
        <w:keepLines/>
        <w:autoSpaceDE w:val="0"/>
        <w:autoSpaceDN w:val="0"/>
        <w:adjustRightInd w:val="0"/>
        <w:spacing w:line="360" w:lineRule="auto"/>
        <w:ind w:firstLineChars="200" w:firstLine="640"/>
        <w:rPr>
          <w:rFonts w:ascii="黑体" w:eastAsia="黑体" w:hAnsi="Times New Roman" w:cs="黑体" w:hint="default"/>
          <w:sz w:val="32"/>
          <w:szCs w:val="32"/>
        </w:rPr>
      </w:pPr>
    </w:p>
    <w:p w:rsidR="00B87C8A" w:rsidRDefault="00B87C8A">
      <w:pPr>
        <w:keepNext/>
        <w:keepLines/>
        <w:autoSpaceDE w:val="0"/>
        <w:autoSpaceDN w:val="0"/>
        <w:adjustRightInd w:val="0"/>
        <w:spacing w:line="360" w:lineRule="auto"/>
        <w:ind w:firstLineChars="200" w:firstLine="640"/>
        <w:rPr>
          <w:rFonts w:ascii="黑体" w:eastAsia="黑体" w:hAnsi="Times New Roman" w:cs="黑体" w:hint="default"/>
          <w:sz w:val="32"/>
          <w:szCs w:val="32"/>
        </w:rPr>
        <w:sectPr w:rsidR="00B87C8A">
          <w:pgSz w:w="12240" w:h="15840"/>
          <w:pgMar w:top="1440" w:right="1800" w:bottom="1440" w:left="1800" w:header="720" w:footer="720" w:gutter="0"/>
          <w:cols w:space="720"/>
        </w:sectPr>
      </w:pPr>
    </w:p>
    <w:p w:rsidR="00B87C8A" w:rsidRDefault="00B87C8A">
      <w:pPr>
        <w:keepNext/>
        <w:keepLines/>
        <w:autoSpaceDE w:val="0"/>
        <w:autoSpaceDN w:val="0"/>
        <w:adjustRightInd w:val="0"/>
        <w:spacing w:line="360" w:lineRule="auto"/>
        <w:ind w:firstLine="0"/>
        <w:rPr>
          <w:rFonts w:ascii="黑体" w:eastAsia="黑体" w:hAnsi="Times New Roman" w:cs="黑体" w:hint="default"/>
          <w:sz w:val="84"/>
          <w:szCs w:val="84"/>
        </w:rPr>
      </w:pPr>
    </w:p>
    <w:p w:rsidR="00B87C8A" w:rsidRDefault="00B87C8A">
      <w:pPr>
        <w:keepNext/>
        <w:keepLines/>
        <w:autoSpaceDE w:val="0"/>
        <w:autoSpaceDN w:val="0"/>
        <w:adjustRightInd w:val="0"/>
        <w:spacing w:line="360" w:lineRule="auto"/>
        <w:ind w:firstLine="0"/>
        <w:rPr>
          <w:rFonts w:ascii="黑体" w:eastAsia="黑体" w:hAnsi="Times New Roman" w:cs="黑体" w:hint="default"/>
          <w:sz w:val="84"/>
          <w:szCs w:val="84"/>
        </w:rPr>
      </w:pPr>
    </w:p>
    <w:p w:rsidR="00B87C8A" w:rsidRDefault="002D1C8A">
      <w:pPr>
        <w:keepNext/>
        <w:keepLines/>
        <w:autoSpaceDE w:val="0"/>
        <w:autoSpaceDN w:val="0"/>
        <w:adjustRightInd w:val="0"/>
        <w:spacing w:line="360" w:lineRule="auto"/>
        <w:ind w:firstLine="0"/>
        <w:jc w:val="center"/>
        <w:rPr>
          <w:rFonts w:ascii="黑体" w:eastAsia="黑体" w:hAnsi="Times New Roman" w:cs="黑体" w:hint="default"/>
          <w:sz w:val="84"/>
          <w:szCs w:val="84"/>
        </w:rPr>
      </w:pPr>
      <w:r>
        <w:rPr>
          <w:rFonts w:ascii="黑体" w:eastAsia="黑体" w:hAnsi="Times New Roman" w:cs="黑体"/>
          <w:sz w:val="84"/>
          <w:szCs w:val="84"/>
        </w:rPr>
        <w:t>第五部分</w:t>
      </w:r>
    </w:p>
    <w:p w:rsidR="00B87C8A" w:rsidRDefault="002D1C8A">
      <w:pPr>
        <w:keepNext/>
        <w:keepLines/>
        <w:autoSpaceDE w:val="0"/>
        <w:autoSpaceDN w:val="0"/>
        <w:adjustRightInd w:val="0"/>
        <w:spacing w:line="360" w:lineRule="auto"/>
        <w:ind w:firstLine="0"/>
        <w:jc w:val="center"/>
        <w:rPr>
          <w:rFonts w:ascii="宋体" w:hAnsi="Times New Roman" w:cs="宋体" w:hint="default"/>
          <w:kern w:val="0"/>
          <w:sz w:val="84"/>
          <w:szCs w:val="84"/>
        </w:rPr>
      </w:pPr>
      <w:r>
        <w:rPr>
          <w:rFonts w:ascii="黑体" w:eastAsia="黑体" w:hAnsi="Times New Roman" w:cs="黑体"/>
          <w:sz w:val="84"/>
          <w:szCs w:val="84"/>
        </w:rPr>
        <w:t>附  件</w:t>
      </w:r>
    </w:p>
    <w:p w:rsidR="00B87C8A" w:rsidRDefault="00B87C8A">
      <w:pPr>
        <w:spacing w:line="360" w:lineRule="auto"/>
        <w:ind w:firstLineChars="200" w:firstLine="640"/>
        <w:rPr>
          <w:rFonts w:ascii="宋体" w:hAnsi="Times New Roman" w:cs="宋体" w:hint="default"/>
          <w:sz w:val="32"/>
          <w:szCs w:val="32"/>
        </w:rPr>
        <w:sectPr w:rsidR="00B87C8A">
          <w:pgSz w:w="12240" w:h="15840"/>
          <w:pgMar w:top="1440" w:right="1800" w:bottom="1440" w:left="1800" w:header="720" w:footer="720" w:gutter="0"/>
          <w:cols w:space="720"/>
        </w:sectPr>
      </w:pPr>
    </w:p>
    <w:p w:rsidR="00B87C8A" w:rsidRDefault="002D1C8A">
      <w:pPr>
        <w:spacing w:line="560" w:lineRule="exact"/>
        <w:jc w:val="center"/>
        <w:rPr>
          <w:rFonts w:ascii="黑体" w:eastAsia="黑体" w:hAnsi="黑体" w:cs="黑体" w:hint="default"/>
          <w:sz w:val="36"/>
          <w:szCs w:val="36"/>
        </w:rPr>
      </w:pPr>
      <w:r>
        <w:rPr>
          <w:rFonts w:ascii="黑体" w:eastAsia="黑体" w:hAnsi="黑体" w:cs="黑体"/>
          <w:sz w:val="36"/>
          <w:szCs w:val="36"/>
        </w:rPr>
        <w:lastRenderedPageBreak/>
        <w:t>2021年度吉首大学整体支出</w:t>
      </w:r>
    </w:p>
    <w:p w:rsidR="00B87C8A" w:rsidRDefault="002D1C8A">
      <w:pPr>
        <w:spacing w:line="560" w:lineRule="exact"/>
        <w:jc w:val="center"/>
        <w:rPr>
          <w:rFonts w:ascii="黑体" w:eastAsia="黑体" w:hAnsi="黑体" w:cs="黑体" w:hint="default"/>
          <w:sz w:val="36"/>
          <w:szCs w:val="36"/>
        </w:rPr>
      </w:pPr>
      <w:r>
        <w:rPr>
          <w:rFonts w:ascii="黑体" w:eastAsia="黑体" w:hAnsi="黑体" w:cs="黑体"/>
          <w:sz w:val="36"/>
          <w:szCs w:val="36"/>
        </w:rPr>
        <w:t>绩效自评报告</w:t>
      </w:r>
    </w:p>
    <w:p w:rsidR="00B87C8A" w:rsidRDefault="00B87C8A">
      <w:pPr>
        <w:spacing w:line="560" w:lineRule="exact"/>
        <w:jc w:val="left"/>
        <w:rPr>
          <w:rFonts w:ascii="宋体" w:hAnsi="宋体" w:hint="default"/>
          <w:sz w:val="28"/>
          <w:szCs w:val="28"/>
        </w:rPr>
      </w:pPr>
    </w:p>
    <w:p w:rsidR="00B87C8A" w:rsidRDefault="002D1C8A">
      <w:pPr>
        <w:spacing w:line="560" w:lineRule="exact"/>
        <w:ind w:firstLineChars="200" w:firstLine="584"/>
        <w:rPr>
          <w:rFonts w:ascii="宋体" w:hAnsi="宋体" w:cs="宋体" w:hint="default"/>
          <w:spacing w:val="6"/>
          <w:sz w:val="28"/>
          <w:szCs w:val="28"/>
        </w:rPr>
      </w:pPr>
      <w:r>
        <w:rPr>
          <w:rFonts w:ascii="宋体" w:hAnsi="宋体" w:cs="宋体"/>
          <w:spacing w:val="6"/>
          <w:sz w:val="28"/>
          <w:szCs w:val="28"/>
        </w:rPr>
        <w:t>根据《湖南省财政厅关于开展2021年度部门整体支出绩效自评工作的通知》（湘财绩〔2022〕1号）和湖南省教育厅《关于开展2021年度单位整体支出绩效自评工作的通知》</w:t>
      </w:r>
      <w:r>
        <w:rPr>
          <w:rFonts w:ascii="宋体" w:hAnsi="宋体" w:cs="宋体"/>
          <w:sz w:val="28"/>
          <w:szCs w:val="28"/>
        </w:rPr>
        <w:t>的文件精神，我校对部门整体支出进行了绩效评价，现报告如下：</w:t>
      </w:r>
    </w:p>
    <w:p w:rsidR="00B87C8A" w:rsidRDefault="002D1C8A">
      <w:pPr>
        <w:spacing w:line="560" w:lineRule="exact"/>
        <w:ind w:firstLineChars="200" w:firstLine="640"/>
        <w:jc w:val="left"/>
        <w:rPr>
          <w:rFonts w:ascii="黑体" w:eastAsia="黑体" w:hAnsi="黑体" w:cs="黑体" w:hint="default"/>
          <w:sz w:val="32"/>
          <w:szCs w:val="32"/>
        </w:rPr>
      </w:pPr>
      <w:r>
        <w:rPr>
          <w:rFonts w:ascii="黑体" w:eastAsia="黑体" w:hAnsi="黑体" w:cs="黑体"/>
          <w:sz w:val="32"/>
          <w:szCs w:val="32"/>
        </w:rPr>
        <w:t>一、学校基本概况</w:t>
      </w:r>
    </w:p>
    <w:p w:rsidR="00B87C8A" w:rsidRDefault="002D1C8A" w:rsidP="002D1C8A">
      <w:pPr>
        <w:pStyle w:val="GB2312"/>
        <w:snapToGrid w:val="0"/>
        <w:spacing w:line="560" w:lineRule="exact"/>
        <w:ind w:firstLine="560"/>
        <w:outlineLvl w:val="1"/>
        <w:rPr>
          <w:rFonts w:ascii="宋体" w:eastAsia="宋体" w:hAnsi="宋体" w:hint="default"/>
          <w:szCs w:val="28"/>
        </w:rPr>
      </w:pPr>
      <w:r>
        <w:rPr>
          <w:rFonts w:ascii="宋体" w:eastAsia="宋体" w:hAnsi="宋体"/>
          <w:szCs w:val="28"/>
        </w:rPr>
        <w:t>吉首大学创办于1958年9月，在湖南省湘西土家族苗族自治州和张家界市两地办学，校本部位于湘西自治州首府——吉首市，是湖南省属综合性大学，也是武陵山片区唯一的综合性大学。学校是国家“中西部高校基础能力建设工程”高校，“服务国家特殊需求博士人才培养项目”高校，《武陵山片区区域发展与扶贫攻坚规划》重点建设高校，教育部本科教学工作水平评估优秀学校，湖南省研究生培养过程质量评估优秀学校。学校是推荐优秀应届本科毕业生免试攻读硕士学位研究生普通高校。2016年，学校成为国家民委与湖南省人民政府共建高校。2018年获批为国家博士学位授权单位，形成了从本科到博士后完整的人才培养体系。学校总占地面积2900余亩，建筑面积近60万平方米，教学科研仪器设备总值3.7亿元，各类纸质、电子文献600余万册。</w:t>
      </w:r>
    </w:p>
    <w:p w:rsidR="00B87C8A" w:rsidRDefault="002D1C8A" w:rsidP="002D1C8A">
      <w:pPr>
        <w:pStyle w:val="GB2312"/>
        <w:snapToGrid w:val="0"/>
        <w:spacing w:line="560" w:lineRule="exact"/>
        <w:ind w:firstLine="560"/>
        <w:outlineLvl w:val="1"/>
        <w:rPr>
          <w:rFonts w:ascii="宋体" w:eastAsia="宋体" w:hAnsi="宋体" w:hint="default"/>
          <w:szCs w:val="28"/>
        </w:rPr>
      </w:pPr>
      <w:r>
        <w:rPr>
          <w:rFonts w:ascii="宋体" w:eastAsia="宋体" w:hAnsi="宋体"/>
          <w:szCs w:val="28"/>
        </w:rPr>
        <w:t>学校现有教学学院21个，一级学科41个，本科专业78个，覆盖了12大学科门类。现有博士后科研流动站2个、一级学科硕士点15个、专业硕士点13个、国家级特色专业3个、国家级本科专业综合改革试点专业1个、“卓越医生教育培养计划”专业和“卓越农林人才教育培</w:t>
      </w:r>
      <w:r>
        <w:rPr>
          <w:rFonts w:ascii="宋体" w:eastAsia="宋体" w:hAnsi="宋体"/>
          <w:szCs w:val="28"/>
        </w:rPr>
        <w:lastRenderedPageBreak/>
        <w:t>养计划”专业各1个，国家一流专业建设点2个。拥有省部级以上各类学科平台近80个。近年来，学校获省部级以上教学成果奖30余项，学生在各类教育行政主管部门组织和认可的比赛、竞赛中共获国家级奖项426项，省部级奖项1589项。毕业生就业率保持在90％以上。学校先后承担省部级以上科研项目900余项，获国家级、省部级科研成果奖共50余项；获得“全国民族团结进步模范集体”“全国绿化模范单位”“全国五四红旗团委”“湖南省文明单位”“湖南省平安高校”“湖南省高校毕业生就业工作先进单位”等荣誉称号。</w:t>
      </w:r>
    </w:p>
    <w:p w:rsidR="00B87C8A" w:rsidRDefault="002D1C8A">
      <w:pPr>
        <w:pStyle w:val="GB2312"/>
        <w:snapToGrid w:val="0"/>
        <w:spacing w:line="560" w:lineRule="exact"/>
        <w:ind w:firstLine="640"/>
        <w:outlineLvl w:val="1"/>
        <w:rPr>
          <w:rFonts w:ascii="黑体" w:eastAsia="黑体" w:hAnsi="黑体" w:cs="黑体" w:hint="default"/>
          <w:sz w:val="32"/>
          <w:szCs w:val="32"/>
        </w:rPr>
      </w:pPr>
      <w:r>
        <w:rPr>
          <w:rFonts w:ascii="黑体" w:eastAsia="黑体" w:hAnsi="黑体" w:cs="黑体"/>
          <w:sz w:val="32"/>
          <w:szCs w:val="32"/>
        </w:rPr>
        <w:t>二、预算支出情况</w:t>
      </w:r>
    </w:p>
    <w:p w:rsidR="00B87C8A" w:rsidRDefault="002D1C8A">
      <w:pPr>
        <w:tabs>
          <w:tab w:val="left" w:pos="0"/>
        </w:tabs>
        <w:spacing w:line="560" w:lineRule="exact"/>
        <w:ind w:right="560" w:firstLineChars="200" w:firstLine="562"/>
        <w:rPr>
          <w:rFonts w:ascii="宋体" w:hAnsi="宋体" w:cs="宋体" w:hint="default"/>
          <w:b/>
          <w:sz w:val="28"/>
          <w:szCs w:val="28"/>
        </w:rPr>
      </w:pPr>
      <w:r>
        <w:rPr>
          <w:rFonts w:ascii="宋体" w:hAnsi="宋体" w:cs="宋体"/>
          <w:b/>
          <w:sz w:val="28"/>
          <w:szCs w:val="28"/>
        </w:rPr>
        <w:t>（一）整体支出情况</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2021年度本单位支出总额为60963.33万元，其中：工资福利支出为33919.99万元，占支出总额的55.64%；商品服务支出14307.55万元，占支出总额的23.47%；对个人和家庭补助支出6821.29万元，占支出总额的11.19%；资本性支出（基本建设）5.39万元，占支出总额的0.01%；资本性支出5909.11万元，占支出总额的9.69%。</w:t>
      </w:r>
    </w:p>
    <w:p w:rsidR="00B87C8A" w:rsidRDefault="002D1C8A">
      <w:pPr>
        <w:tabs>
          <w:tab w:val="left" w:pos="0"/>
        </w:tabs>
        <w:spacing w:line="560" w:lineRule="exact"/>
        <w:ind w:right="560" w:firstLineChars="200" w:firstLine="562"/>
        <w:rPr>
          <w:rFonts w:ascii="宋体" w:hAnsi="宋体" w:cs="宋体" w:hint="default"/>
          <w:b/>
          <w:sz w:val="28"/>
          <w:szCs w:val="28"/>
        </w:rPr>
      </w:pPr>
      <w:r>
        <w:rPr>
          <w:rFonts w:ascii="宋体" w:hAnsi="宋体" w:cs="宋体"/>
          <w:b/>
          <w:sz w:val="28"/>
          <w:szCs w:val="28"/>
        </w:rPr>
        <w:t>（二）一般公共预算支出情况</w:t>
      </w:r>
    </w:p>
    <w:p w:rsidR="00B87C8A" w:rsidRDefault="002D1C8A">
      <w:pPr>
        <w:tabs>
          <w:tab w:val="left" w:pos="0"/>
        </w:tabs>
        <w:spacing w:line="560" w:lineRule="exact"/>
        <w:ind w:right="560" w:firstLineChars="200" w:firstLine="560"/>
        <w:rPr>
          <w:rFonts w:ascii="宋体" w:hAnsi="宋体" w:cs="宋体" w:hint="default"/>
          <w:sz w:val="28"/>
          <w:szCs w:val="28"/>
        </w:rPr>
      </w:pPr>
      <w:r>
        <w:rPr>
          <w:rFonts w:ascii="宋体" w:hAnsi="宋体" w:cs="宋体"/>
          <w:sz w:val="28"/>
          <w:szCs w:val="28"/>
        </w:rPr>
        <w:t>1.一般公共预算基本支出情况</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2021年度学校一般公共预算基本支出25701.46万元，其中工资福利支出23434.48万元，占基本支出的91.18%，主要包括基本工资、津贴补贴、奖金、绩效工资、社会保障费等;商品服务支出1492.24万元，占基本支出的5.81%，主要包括办公费、印刷费、邮电费、物业管理费、差旅费、专用材料费、劳务费、委托业务费等；对个人和家庭的补助774.74万元，占基本支出的3.01%，主要包括离休费、生活补助等。</w:t>
      </w:r>
    </w:p>
    <w:p w:rsidR="00B87C8A" w:rsidRDefault="002D1C8A">
      <w:pPr>
        <w:tabs>
          <w:tab w:val="left" w:pos="0"/>
        </w:tabs>
        <w:spacing w:line="560" w:lineRule="exact"/>
        <w:ind w:right="560" w:firstLineChars="200" w:firstLine="560"/>
        <w:rPr>
          <w:rFonts w:ascii="宋体" w:hAnsi="宋体" w:cs="宋体" w:hint="default"/>
          <w:sz w:val="28"/>
          <w:szCs w:val="28"/>
        </w:rPr>
      </w:pPr>
      <w:r>
        <w:rPr>
          <w:rFonts w:ascii="宋体" w:hAnsi="宋体" w:cs="宋体"/>
          <w:sz w:val="28"/>
          <w:szCs w:val="28"/>
        </w:rPr>
        <w:lastRenderedPageBreak/>
        <w:t>2.一般公共预算项目支出情况</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2021年度学校一般公共预算项目支出11513.46万元，其中商品服务支出2687.46万元，资本性支出（基本建设）5.39万元，资本性支出5098.15万元。</w:t>
      </w:r>
    </w:p>
    <w:p w:rsidR="00B87C8A" w:rsidRDefault="002D1C8A">
      <w:pPr>
        <w:tabs>
          <w:tab w:val="left" w:pos="0"/>
        </w:tabs>
        <w:spacing w:line="560" w:lineRule="exact"/>
        <w:ind w:right="560" w:firstLineChars="200" w:firstLine="562"/>
        <w:rPr>
          <w:rFonts w:ascii="宋体" w:hAnsi="宋体" w:cs="宋体" w:hint="default"/>
          <w:b/>
          <w:sz w:val="28"/>
          <w:szCs w:val="28"/>
        </w:rPr>
      </w:pPr>
      <w:r>
        <w:rPr>
          <w:rFonts w:ascii="宋体" w:hAnsi="宋体" w:cs="宋体"/>
          <w:b/>
          <w:sz w:val="28"/>
          <w:szCs w:val="28"/>
        </w:rPr>
        <w:t>（三）省级专项资金支出情况</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2021年本单位省级专项资金支出包括教育综合发展专项、高校“双一流”建设专项。</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1.教育综合发展专项，年度财政拨款38.3万元，支出18.8万元，预算执行率49%，项目资金构成与执行绩效如下：</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1）“一带一路”留学生奖学金专项，财政拨款1.5万元，因全球新冠疫情原因，学校留学生招生计划未完成，资金退回省财政厅。学校将根据2022年新冠疫情形势，积极加快推动“一带一路”沿线国家留学生招生工作；</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2）内地民族班专项，财政拨款20万元，全年实际执行4.8万元，因疫情影响，年度新疆、西藏家访和调研活动未能开展，其他民族教育活动执行良好。2021年，学校选派了2名骨干教师和优秀辅导员参加了湖南省少数民族学生教育管理培训；组织开展了民族学生“品味诗词之美，传承中华文明”古诗词朗诵比赛、“加强民族团结·铸牢中华民族共同体意识”知识抢答赛、“青春心向党 追梦新征程”朗诵大赛、“传承红色基因、永远跟党走”民族团结演讲比赛、“贯彻中央民族工作会议精神 铸牢中华民族共同体意识”吉首大学第三届民族文化艺术节、“庆祝建党100周年，永远跟党走”主题征文活动等系列活动，有效加强了民族团结教育，铸牢全体师生中华民族共同体意识。</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lastRenderedPageBreak/>
        <w:t>（3）校园足球专项，年度财政拨款12.8万元，资金支出12.8万元，其中食宿交通费用4.2万元、培训场地设备租赁费0.88万元、课时和劳务费4.1万元、其他商品服务支出3.62万元，预算执行率100%。校园足球项目由我校体育文化科学学院承担，项通过研修培训，提升了学员校园足球教学理念、教学方法与手段，加深了对校园足球教育教学理论及学科前沿信息、知识与教学价值的深入理解，提升了校园足球的教学专项能力。39位校园足球骨干教师通过将所学的知识技能推广至中、小学应用，有效提高了校园足球课程教学及其课外体育活动的质量，促进学生体质健康。</w:t>
      </w:r>
    </w:p>
    <w:p w:rsidR="00B87C8A" w:rsidRDefault="002D1C8A">
      <w:pPr>
        <w:tabs>
          <w:tab w:val="left" w:pos="0"/>
        </w:tabs>
        <w:spacing w:line="560" w:lineRule="exact"/>
        <w:ind w:right="25" w:firstLineChars="200" w:firstLine="560"/>
        <w:jc w:val="left"/>
        <w:rPr>
          <w:rFonts w:ascii="宋体" w:hAnsi="宋体" w:cs="宋体" w:hint="default"/>
          <w:color w:val="000000"/>
          <w:sz w:val="28"/>
          <w:szCs w:val="28"/>
        </w:rPr>
      </w:pPr>
      <w:r>
        <w:rPr>
          <w:rFonts w:ascii="宋体" w:hAnsi="宋体" w:cs="宋体"/>
          <w:sz w:val="28"/>
          <w:szCs w:val="28"/>
        </w:rPr>
        <w:t>（4）</w:t>
      </w:r>
      <w:r>
        <w:rPr>
          <w:rFonts w:ascii="宋体" w:hAnsi="宋体" w:cs="宋体"/>
          <w:color w:val="000000"/>
          <w:sz w:val="28"/>
          <w:szCs w:val="28"/>
        </w:rPr>
        <w:t>教育科学规划课题- 湘西地区乡村体育教师专业发展困境及策略研究项目，年度财政拨款1万元，资金主要用于问卷调研的差旅和资料打印，支出总额1万元，预算执行率100%。项目负责人按项目规划完成了《湘西州乡村体育教师内动力发展现状问卷》、《湘西州乡村体育教师满意度问卷》两套问卷的发放和调查工作，同时按照项目绩效目标规定撰写了两篇论文，绩效目标得到实现。</w:t>
      </w:r>
    </w:p>
    <w:p w:rsidR="00B87C8A" w:rsidRDefault="002D1C8A">
      <w:pPr>
        <w:tabs>
          <w:tab w:val="left" w:pos="0"/>
        </w:tabs>
        <w:spacing w:line="560" w:lineRule="exact"/>
        <w:ind w:right="25" w:firstLineChars="200" w:firstLine="560"/>
        <w:jc w:val="left"/>
        <w:rPr>
          <w:rFonts w:ascii="宋体" w:hAnsi="宋体" w:cs="宋体" w:hint="default"/>
          <w:sz w:val="28"/>
          <w:szCs w:val="28"/>
        </w:rPr>
      </w:pPr>
      <w:r>
        <w:rPr>
          <w:rFonts w:ascii="宋体" w:hAnsi="宋体" w:cs="宋体"/>
          <w:color w:val="000000"/>
          <w:sz w:val="28"/>
          <w:szCs w:val="28"/>
        </w:rPr>
        <w:t>（5）教育体制改革试点-武陵山片区教师教育协同一体化发展机制与模式创新项目，年度财政拨款3万元。通过对武陵山片区教师教育协同一体化发展机制与模式的研究，先后在《中国教育报》、《湖南日报》、《光明日报》等权威报刊发表论文3篇，组建了涵盖思政课教师、优秀研究生和本科生在内的“理论宣讲团”、“星火宣讲队”、“政能量之音”三支宣讲队，形成了“思政园+”的实践教学模式，利用思政园中的“中国道路”文化墙，开展思政文化育人实践，打造了“中国道路说”移动思政课实践教学品</w:t>
      </w:r>
      <w:r>
        <w:rPr>
          <w:rFonts w:ascii="宋体" w:hAnsi="宋体" w:cs="宋体"/>
          <w:color w:val="000000"/>
          <w:spacing w:val="-6"/>
          <w:sz w:val="28"/>
          <w:szCs w:val="28"/>
        </w:rPr>
        <w:t>牌，有效推进教育体制改革试点，助推科教强省建设和</w:t>
      </w:r>
      <w:r>
        <w:rPr>
          <w:rFonts w:ascii="宋体" w:hAnsi="宋体" w:cs="宋体"/>
          <w:color w:val="000000"/>
          <w:spacing w:val="-6"/>
          <w:sz w:val="28"/>
          <w:szCs w:val="28"/>
        </w:rPr>
        <w:lastRenderedPageBreak/>
        <w:t>教育现代化。</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2.高校“双一流”建设专项，年度财政拨款3103万元。为切实有效推进“双一流”建设，学校自筹资金2223.39万元，投入总计5326.39万元用于“双一流”项目建设，在制度建设、“双一流”学科（专业群）建设、人才队伍建设、创新人才培养、科学研究和学术合作交流等六大方面取得发展和突破，主要表现为：</w:t>
      </w:r>
    </w:p>
    <w:p w:rsidR="00B87C8A" w:rsidRDefault="002D1C8A">
      <w:pPr>
        <w:tabs>
          <w:tab w:val="left" w:pos="0"/>
        </w:tabs>
        <w:spacing w:line="560" w:lineRule="exact"/>
        <w:ind w:right="25" w:firstLineChars="200" w:firstLine="560"/>
        <w:rPr>
          <w:rFonts w:ascii="宋体" w:hAnsi="宋体" w:cs="宋体" w:hint="default"/>
          <w:sz w:val="28"/>
          <w:szCs w:val="28"/>
        </w:rPr>
      </w:pPr>
      <w:r>
        <w:rPr>
          <w:rFonts w:ascii="宋体" w:hAnsi="宋体" w:cs="宋体"/>
          <w:sz w:val="28"/>
          <w:szCs w:val="28"/>
        </w:rPr>
        <w:t>（1）制度建设方面。学校以《湖南省全面推进一流大学一流学科实施方案》、《</w:t>
      </w:r>
      <w:r w:rsidR="00930D56">
        <w:rPr>
          <w:rFonts w:ascii="宋体" w:hAnsi="宋体" w:cs="宋体"/>
          <w:sz w:val="28"/>
          <w:szCs w:val="28"/>
        </w:rPr>
        <w:fldChar w:fldCharType="begin"/>
      </w:r>
      <w:r>
        <w:rPr>
          <w:rFonts w:ascii="宋体" w:hAnsi="宋体" w:cs="宋体"/>
          <w:sz w:val="28"/>
          <w:szCs w:val="28"/>
        </w:rPr>
        <w:instrText>ADDIN CNKISM.UserStyle</w:instrText>
      </w:r>
      <w:r w:rsidR="00930D56">
        <w:rPr>
          <w:rFonts w:ascii="宋体" w:hAnsi="宋体" w:cs="宋体"/>
          <w:sz w:val="28"/>
          <w:szCs w:val="28"/>
        </w:rPr>
        <w:fldChar w:fldCharType="end"/>
      </w:r>
      <w:r>
        <w:rPr>
          <w:rFonts w:ascii="宋体" w:hAnsi="宋体" w:cs="宋体"/>
          <w:sz w:val="28"/>
          <w:szCs w:val="28"/>
        </w:rPr>
        <w:t>湖南省高等学校“双一流”建设专项资金管理办法》、《</w:t>
      </w:r>
      <w:r w:rsidR="00930D56">
        <w:rPr>
          <w:rFonts w:ascii="宋体" w:hAnsi="宋体" w:cs="宋体"/>
          <w:sz w:val="28"/>
          <w:szCs w:val="28"/>
        </w:rPr>
        <w:fldChar w:fldCharType="begin"/>
      </w:r>
      <w:r>
        <w:rPr>
          <w:rFonts w:ascii="宋体" w:hAnsi="宋体" w:cs="宋体"/>
          <w:sz w:val="28"/>
          <w:szCs w:val="28"/>
        </w:rPr>
        <w:instrText>ADDIN CNKISM.UserStyle</w:instrText>
      </w:r>
      <w:r w:rsidR="00930D56">
        <w:rPr>
          <w:rFonts w:ascii="宋体" w:hAnsi="宋体" w:cs="宋体"/>
          <w:sz w:val="28"/>
          <w:szCs w:val="28"/>
        </w:rPr>
        <w:fldChar w:fldCharType="end"/>
      </w:r>
      <w:r>
        <w:rPr>
          <w:rFonts w:ascii="宋体" w:hAnsi="宋体" w:cs="宋体"/>
          <w:sz w:val="28"/>
          <w:szCs w:val="28"/>
        </w:rPr>
        <w:t>湖南省高等学校“双一流”学科建设项目管理办法》等文件精神为依据，紧扣一流大学与一流学科建设的总体目标，制定了《吉首大学“双一流”学科建设实施方案》《吉首大学“双一流”学科建设项目管理办法》，分类建立了“双一流”学科（专业群）建设、人才队伍建设、创新人才培养、科学研究和学术合作交流项目库。</w:t>
      </w:r>
    </w:p>
    <w:p w:rsidR="00B87C8A" w:rsidRDefault="002D1C8A">
      <w:pPr>
        <w:tabs>
          <w:tab w:val="left" w:pos="0"/>
        </w:tabs>
        <w:spacing w:line="560" w:lineRule="exact"/>
        <w:ind w:right="25" w:firstLineChars="200" w:firstLine="560"/>
        <w:rPr>
          <w:rFonts w:ascii="宋体" w:hAnsi="宋体" w:cs="宋体" w:hint="default"/>
          <w:color w:val="000000"/>
          <w:sz w:val="28"/>
          <w:szCs w:val="28"/>
        </w:rPr>
      </w:pPr>
      <w:r>
        <w:rPr>
          <w:rFonts w:ascii="宋体" w:hAnsi="宋体" w:cs="宋体"/>
          <w:sz w:val="28"/>
          <w:szCs w:val="28"/>
        </w:rPr>
        <w:t>（2）人才</w:t>
      </w:r>
      <w:r>
        <w:rPr>
          <w:rFonts w:ascii="宋体" w:hAnsi="宋体" w:cs="宋体"/>
          <w:color w:val="000000"/>
          <w:sz w:val="28"/>
          <w:szCs w:val="28"/>
        </w:rPr>
        <w:t>队伍建设方面。主要绩效表现为：遴选“俊彦学者人才工程”人才269人、特聘校外专家13人、启动芙蓉教学名师建设1项、引进高水平博士人才10人、选派攻读博士学位教师25人、学成返校博士18人。</w:t>
      </w:r>
    </w:p>
    <w:p w:rsidR="00B87C8A" w:rsidRDefault="002D1C8A">
      <w:pPr>
        <w:tabs>
          <w:tab w:val="left" w:pos="0"/>
        </w:tabs>
        <w:spacing w:line="560" w:lineRule="exact"/>
        <w:ind w:right="25" w:firstLineChars="200" w:firstLine="560"/>
        <w:rPr>
          <w:rFonts w:ascii="宋体" w:hAnsi="宋体" w:cs="宋体" w:hint="default"/>
          <w:color w:val="000000"/>
          <w:sz w:val="28"/>
          <w:szCs w:val="28"/>
        </w:rPr>
      </w:pPr>
      <w:r>
        <w:rPr>
          <w:rFonts w:ascii="宋体" w:hAnsi="宋体" w:cs="宋体"/>
          <w:color w:val="000000"/>
          <w:sz w:val="28"/>
          <w:szCs w:val="28"/>
        </w:rPr>
        <w:t>（3）人才培养建设方面。获得省级教学成果奖9项、出版国家级规划教材11部、发表教改类论文114篇、本科生获得省部级及以上学科竞赛奖励822项、支撑本科生校级创新项目数73个、本科生省级期刊发表论文数88篇、本科生获得专利数18个；省级研究生培养创新基地通过年度检查2个、验收4个、立项建设4个；选派80余名硕士研究生到各培养创新基地接受科研能力培养和专业实践，发表学术论文50</w:t>
      </w:r>
      <w:r>
        <w:rPr>
          <w:rFonts w:ascii="宋体" w:hAnsi="宋体" w:cs="宋体"/>
          <w:color w:val="000000"/>
          <w:sz w:val="28"/>
          <w:szCs w:val="28"/>
        </w:rPr>
        <w:lastRenderedPageBreak/>
        <w:t>余篇。</w:t>
      </w:r>
    </w:p>
    <w:p w:rsidR="00B87C8A" w:rsidRDefault="002D1C8A">
      <w:pPr>
        <w:tabs>
          <w:tab w:val="left" w:pos="0"/>
        </w:tabs>
        <w:spacing w:line="560" w:lineRule="exact"/>
        <w:ind w:right="25" w:firstLineChars="200" w:firstLine="560"/>
        <w:rPr>
          <w:rFonts w:ascii="宋体" w:hAnsi="宋体" w:cs="宋体" w:hint="default"/>
          <w:color w:val="000000"/>
          <w:sz w:val="28"/>
          <w:szCs w:val="28"/>
        </w:rPr>
      </w:pPr>
      <w:r>
        <w:rPr>
          <w:rFonts w:ascii="宋体" w:hAnsi="宋体" w:cs="宋体"/>
          <w:color w:val="000000"/>
          <w:sz w:val="28"/>
          <w:szCs w:val="28"/>
        </w:rPr>
        <w:t>（4）学科建设方面。制定了《中共吉首大学委员会关于制定学校“十四五”发展规划和二〇三五年远景目标的意见》《吉首大学事业发展“十四五”总体规划（讨论稿）》《吉首大学“十四五”学科专业建设专项规划（2021—2025年）（讨论稿）》。新增信息与通信工程一级学科硕士点1个、新增材料与化工、资源与环境、生物与医药、风景园林等4个专业学位硕士点。</w:t>
      </w:r>
    </w:p>
    <w:p w:rsidR="00B87C8A" w:rsidRDefault="002D1C8A">
      <w:pPr>
        <w:tabs>
          <w:tab w:val="left" w:pos="0"/>
        </w:tabs>
        <w:spacing w:line="560" w:lineRule="exact"/>
        <w:ind w:right="25" w:firstLineChars="200" w:firstLine="560"/>
        <w:rPr>
          <w:rFonts w:ascii="宋体" w:hAnsi="宋体" w:cs="宋体" w:hint="default"/>
          <w:color w:val="000000"/>
          <w:sz w:val="28"/>
          <w:szCs w:val="28"/>
        </w:rPr>
      </w:pPr>
      <w:r>
        <w:rPr>
          <w:rFonts w:ascii="宋体" w:hAnsi="宋体" w:cs="宋体"/>
          <w:color w:val="000000"/>
          <w:sz w:val="28"/>
          <w:szCs w:val="28"/>
        </w:rPr>
        <w:t>（5）科学研究方面。自然科学纵向课题立项82项、签订横向课题37项，到账经费476.37万元；技术转移转化6项，项目金额15.5万元；发表SCI、EI、CPCI、CSCD等科研论文175篇；获省科技成果二等奖2项、省科技成果三等奖4项；授权各类专利83件，其中发明专利25件，实用新型专利49件和外观专利9件。社会科学获得湖南省哲学社科成果奖一等奖2项、二等奖2项，出版专著10余部，发表学术论文200余篇，获省部级以上项目60余项，依托平台获省级以上重大项目2项。</w:t>
      </w:r>
    </w:p>
    <w:p w:rsidR="00B87C8A" w:rsidRDefault="002D1C8A">
      <w:pPr>
        <w:tabs>
          <w:tab w:val="left" w:pos="0"/>
        </w:tabs>
        <w:spacing w:line="560" w:lineRule="exact"/>
        <w:ind w:right="25" w:firstLineChars="200" w:firstLine="560"/>
        <w:rPr>
          <w:rFonts w:ascii="宋体" w:hAnsi="宋体" w:cs="宋体" w:hint="default"/>
          <w:color w:val="000000"/>
          <w:sz w:val="28"/>
          <w:szCs w:val="28"/>
        </w:rPr>
      </w:pPr>
      <w:r>
        <w:rPr>
          <w:rFonts w:ascii="宋体" w:hAnsi="宋体" w:cs="宋体"/>
          <w:color w:val="000000"/>
          <w:sz w:val="28"/>
          <w:szCs w:val="28"/>
        </w:rPr>
        <w:t>（6）国际合作与交流方面。受全球新冠疫情影响，聘请外国专家3人进行线上教学，留学生项目暂未执行。</w:t>
      </w:r>
    </w:p>
    <w:p w:rsidR="00B87C8A" w:rsidRDefault="002D1C8A">
      <w:pPr>
        <w:pStyle w:val="GB2312"/>
        <w:snapToGrid w:val="0"/>
        <w:spacing w:line="560" w:lineRule="exact"/>
        <w:ind w:firstLine="640"/>
        <w:jc w:val="left"/>
        <w:outlineLvl w:val="1"/>
        <w:rPr>
          <w:rFonts w:ascii="黑体" w:eastAsia="黑体" w:hAnsi="黑体" w:cs="黑体" w:hint="default"/>
          <w:sz w:val="32"/>
          <w:szCs w:val="32"/>
        </w:rPr>
      </w:pPr>
      <w:r>
        <w:rPr>
          <w:rFonts w:ascii="黑体" w:eastAsia="黑体" w:hAnsi="黑体" w:cs="黑体"/>
          <w:sz w:val="32"/>
          <w:szCs w:val="32"/>
        </w:rPr>
        <w:t>三、部门整体支出绩效情况</w:t>
      </w:r>
    </w:p>
    <w:p w:rsidR="00B87C8A" w:rsidRDefault="002D1C8A">
      <w:pPr>
        <w:autoSpaceDE w:val="0"/>
        <w:autoSpaceDN w:val="0"/>
        <w:adjustRightInd w:val="0"/>
        <w:spacing w:line="560" w:lineRule="exact"/>
        <w:ind w:firstLineChars="200" w:firstLine="560"/>
        <w:rPr>
          <w:rFonts w:ascii="宋体" w:hAnsi="宋体" w:cs="宋体" w:hint="default"/>
          <w:sz w:val="28"/>
          <w:szCs w:val="28"/>
        </w:rPr>
      </w:pPr>
      <w:r>
        <w:rPr>
          <w:rFonts w:ascii="宋体" w:hAnsi="宋体" w:cs="宋体"/>
          <w:sz w:val="28"/>
          <w:szCs w:val="28"/>
        </w:rPr>
        <w:t>学校预算编制坚持“量入为出、收支平衡，综合预算、统筹资源，保证重点、兼顾一般，厉行节约、讲求绩效”的原则，编制过程采用“两下两上一集中”的程序，反复多次进行调研与论证，确保预算精准、科学。支出预算坚持四结合：经费投入与学校事业发展规划和年度工作要点相结合，保重点项目投入；与资产管理相结合，资金投入充分考虑资产的存量和使用效益，促进资源共享和配置优化；与国家及上级主管部</w:t>
      </w:r>
      <w:r>
        <w:rPr>
          <w:rFonts w:ascii="宋体" w:hAnsi="宋体" w:cs="宋体"/>
          <w:sz w:val="28"/>
          <w:szCs w:val="28"/>
        </w:rPr>
        <w:lastRenderedPageBreak/>
        <w:t>门有关经费控制规定相结合，严格贯彻《党政机关厉行节约反对浪费条例》，“三公经费”支出只减不增，严控一般性经费支出，努力降低行政运行成本；与预算执行绩效相结合，对预算执行不好的、资金效益不高的，少安排或不予安排。按照《2021年度部门整体支出绩效自评</w:t>
      </w:r>
      <w:r>
        <w:rPr>
          <w:rFonts w:ascii="宋体" w:hAnsi="宋体" w:cs="宋体"/>
          <w:spacing w:val="-6"/>
          <w:sz w:val="28"/>
          <w:szCs w:val="28"/>
        </w:rPr>
        <w:t>表》评分标准，综合自评得分97.5分。本年度主要做好了以下工作</w:t>
      </w:r>
      <w:r>
        <w:rPr>
          <w:rFonts w:ascii="宋体" w:hAnsi="宋体" w:cs="宋体"/>
          <w:sz w:val="28"/>
          <w:szCs w:val="28"/>
        </w:rPr>
        <w:t>：</w:t>
      </w:r>
    </w:p>
    <w:p w:rsidR="00B87C8A" w:rsidRDefault="002D1C8A">
      <w:pPr>
        <w:autoSpaceDE w:val="0"/>
        <w:autoSpaceDN w:val="0"/>
        <w:adjustRightInd w:val="0"/>
        <w:spacing w:line="560" w:lineRule="exact"/>
        <w:ind w:firstLineChars="200" w:firstLine="562"/>
        <w:rPr>
          <w:rFonts w:ascii="宋体" w:hAnsi="宋体" w:cs="宋体" w:hint="default"/>
          <w:sz w:val="28"/>
          <w:szCs w:val="28"/>
        </w:rPr>
      </w:pPr>
      <w:r>
        <w:rPr>
          <w:rFonts w:ascii="宋体" w:hAnsi="宋体" w:cs="宋体"/>
          <w:b/>
          <w:sz w:val="28"/>
          <w:szCs w:val="28"/>
        </w:rPr>
        <w:t>（一）以党的建设为统领，为学校事业发展提供了坚强保障</w:t>
      </w:r>
    </w:p>
    <w:p w:rsidR="00B87C8A" w:rsidRDefault="002D1C8A">
      <w:pPr>
        <w:adjustRightInd w:val="0"/>
        <w:snapToGrid w:val="0"/>
        <w:spacing w:line="560" w:lineRule="exact"/>
        <w:ind w:firstLineChars="200" w:firstLine="560"/>
        <w:rPr>
          <w:rFonts w:ascii="宋体" w:hAnsi="宋体" w:cs="宋体" w:hint="default"/>
          <w:sz w:val="28"/>
          <w:szCs w:val="28"/>
        </w:rPr>
      </w:pPr>
      <w:r>
        <w:rPr>
          <w:rFonts w:ascii="宋体" w:hAnsi="宋体" w:cs="宋体"/>
          <w:sz w:val="28"/>
          <w:szCs w:val="28"/>
        </w:rPr>
        <w:t>1.认真落实中央和省委加强政治建设的各项要求，坚持和完善党委领导下的校长负责制，切实加强基层组织建设，学习宣传贯彻党的十九届六中全会精神、湖南省第十二次党代会精神，忠诚拥护“两个确立”、坚决做到“两个维护”、树牢“四个意识”、坚定“四个自信”，坚持“立德树人”根本任务，牢牢把握意识形态工作主导权，着力打造过硬的干部队伍，深入推进党风廉政建设。召开了中共吉首大学第七次党代会，选举产生了新一届党委班子、纪委班子。充分发挥统战、工会、团委和离退休老同志作用，增强党建合力，为学校事业发展提供坚强的政治保障。</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2.着力加强党建工作。学校成立了机关党委，不断加强机关党支部的建设。同时开展党支部建设调研，修订了《吉首大学党支部工作细则》，落实了新修订的《中国共产党普通高等学校基层组织工作条例》。系统推进党建品牌活动体系化建设，围绕党史学习教育组织开展了党史学习“六百工程”。</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3.大力弘扬社会主义核心价值观。积极推进“三全育人”综合改革，深入实施“五育人工程”，持续开展“万名师生走进武陵山”社会实践服务品牌活动，组建校级团队2支、院级团队20支，2个博士团开展振</w:t>
      </w:r>
      <w:r>
        <w:rPr>
          <w:rFonts w:ascii="宋体" w:hAnsi="宋体" w:cs="宋体"/>
          <w:sz w:val="28"/>
          <w:szCs w:val="28"/>
        </w:rPr>
        <w:lastRenderedPageBreak/>
        <w:t>兴与产业发展大调查，立项支持14个研究生团队开展专项调查；4支团队获全国青年志愿者服务社区行动“七彩四点半”志愿服务项目“示范团队”称号，1个项目获第五届中国青年志愿服务公益创业大赛金奖，1个项目获得湖南省“雷锋杯”5A项目。</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4.扎实推进驻村扶贫工作。建立了与润雅乡、五官村的上下联动及振兴帮扶工作机制，对五官村党支部（村委会）队伍进行了重点帮扶和提升其管理能力，完成了对五官村750余户村民的基本走访与记录，策划召开五官村党支部迎接建党100年主题党日活动。配合永顺县相关部门和技术单位对五官村发展做出了详实的规划蓝本。</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5.不断巩固统战、群团工作。学校青年志愿者协会获评第十三届中国青年志愿者优秀组织奖，构建校、院、社团三位一体的青马工程培训工作格局。全年共组织“青马”骨干网络培训1997人次，线下院级培训307人次，社团骨干培训143人次。外国语学院荣获张家界市五四红旗团总支，法学与公共管理学院荣获湖</w:t>
      </w:r>
      <w:r>
        <w:rPr>
          <w:rFonts w:ascii="宋体" w:hAnsi="宋体" w:cs="宋体"/>
          <w:spacing w:val="-6"/>
          <w:sz w:val="28"/>
          <w:szCs w:val="28"/>
        </w:rPr>
        <w:t>南省五四红旗团总支，19法学二班团支部获评全国“活力团支部”。</w:t>
      </w:r>
    </w:p>
    <w:p w:rsidR="00B87C8A" w:rsidRDefault="002D1C8A">
      <w:pPr>
        <w:autoSpaceDE w:val="0"/>
        <w:autoSpaceDN w:val="0"/>
        <w:adjustRightInd w:val="0"/>
        <w:spacing w:line="560" w:lineRule="exact"/>
        <w:ind w:firstLineChars="200" w:firstLine="562"/>
        <w:rPr>
          <w:rFonts w:ascii="宋体" w:hAnsi="宋体" w:cs="宋体" w:hint="default"/>
          <w:sz w:val="28"/>
          <w:szCs w:val="28"/>
        </w:rPr>
      </w:pPr>
      <w:r>
        <w:rPr>
          <w:rFonts w:ascii="宋体" w:hAnsi="宋体" w:cs="宋体"/>
          <w:b/>
          <w:sz w:val="28"/>
          <w:szCs w:val="28"/>
        </w:rPr>
        <w:t>（二）以第五轮学科评估为契机，有效提升学校核心竞争力</w:t>
      </w:r>
    </w:p>
    <w:p w:rsidR="00B87C8A" w:rsidRDefault="002D1C8A">
      <w:pPr>
        <w:autoSpaceDE w:val="0"/>
        <w:autoSpaceDN w:val="0"/>
        <w:adjustRightInd w:val="0"/>
        <w:spacing w:line="560" w:lineRule="exact"/>
        <w:ind w:firstLineChars="200" w:firstLine="560"/>
        <w:rPr>
          <w:rFonts w:ascii="宋体" w:hAnsi="宋体" w:cs="宋体" w:hint="default"/>
          <w:sz w:val="28"/>
          <w:szCs w:val="28"/>
        </w:rPr>
      </w:pPr>
      <w:r>
        <w:rPr>
          <w:rFonts w:ascii="宋体" w:hAnsi="宋体" w:cs="宋体"/>
          <w:sz w:val="28"/>
          <w:szCs w:val="28"/>
        </w:rPr>
        <w:t>1.制度体制不断深化。本年学校制定了《吉首大学贯彻落实&lt;深化落实新时代教育评价改革总体方案&gt;的工作方案》《吉首大学一流本科专业建设管理办法》《吉首大学学位评定委员会章程》，修订了《吉首大学教学奖励办法》《吉首大学研究生学籍管理规定》。积极推进学校“十四五”及中长期发展规划的编制工作，制订了《吉首大学编制十四五规划推进方案》，出台了《中共吉首大学委员会关于制定学校“十四五”发展规划和二〇三五年远景目标的意见》。</w:t>
      </w:r>
    </w:p>
    <w:p w:rsidR="00B87C8A" w:rsidRDefault="002D1C8A">
      <w:pPr>
        <w:autoSpaceDE w:val="0"/>
        <w:autoSpaceDN w:val="0"/>
        <w:adjustRightInd w:val="0"/>
        <w:spacing w:line="560" w:lineRule="exact"/>
        <w:ind w:firstLineChars="200" w:firstLine="560"/>
        <w:rPr>
          <w:rFonts w:ascii="宋体" w:hAnsi="宋体" w:cs="宋体" w:hint="default"/>
          <w:sz w:val="28"/>
          <w:szCs w:val="28"/>
        </w:rPr>
      </w:pPr>
      <w:r>
        <w:rPr>
          <w:rFonts w:ascii="宋体" w:hAnsi="宋体" w:cs="宋体"/>
          <w:sz w:val="28"/>
          <w:szCs w:val="28"/>
        </w:rPr>
        <w:lastRenderedPageBreak/>
        <w:t>2.学科建设稳步推进。按照“整密联系、统筹兼顾、分层择优、整合申报”的原则，做好了体育学、民族学、生态学等12个学科参评第五轮学科评估申报工作，以之促进学科布局的进一步优化。实施学位点动态调整和培育计划，申报获得“信息与通信工程”一级学科硕士点，“生物与医药”“材料与化工”“资源与环境”“风景园林”等4个专业学位授权类别，撤销“哲学”和“林业工程”等2个一级学科硕士点，增列“新闻传播学”和“基础医学”等2个一级学科硕士点。</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3.专业建设不断加强。目前已立项8个国家级一流专业建设点，24个省级一流专业，2021年组织、指导学院申报省级国家级一流本科专业，经济学、思想政治教育等21个专业获推荐参评国家级一流专业。同时加强专业课程建设改革，《花样跳绳》等36门课程被认定为湖南省一流本科课程，积极推进汉语言文学和食品科学与技术专业认证。适当控制招生专业，对专业评估不合格、社会需求不旺盛、招生就业形势不好、专业办学水平不高的19个专业进行了停招。</w:t>
      </w:r>
    </w:p>
    <w:p w:rsidR="00B87C8A" w:rsidRDefault="002D1C8A">
      <w:pPr>
        <w:spacing w:line="560" w:lineRule="exact"/>
        <w:ind w:firstLine="640"/>
        <w:rPr>
          <w:rFonts w:ascii="宋体" w:hAnsi="宋体" w:cs="宋体" w:hint="default"/>
          <w:spacing w:val="-6"/>
          <w:sz w:val="28"/>
          <w:szCs w:val="28"/>
        </w:rPr>
      </w:pPr>
      <w:r>
        <w:rPr>
          <w:rFonts w:ascii="宋体" w:hAnsi="宋体" w:cs="宋体"/>
          <w:b/>
          <w:spacing w:val="-6"/>
          <w:sz w:val="28"/>
          <w:szCs w:val="28"/>
        </w:rPr>
        <w:t>（三）以“双一流”建设为牵引，确保了人才培养的中心地位</w:t>
      </w:r>
    </w:p>
    <w:p w:rsidR="00B87C8A" w:rsidRDefault="002D1C8A">
      <w:pPr>
        <w:adjustRightInd w:val="0"/>
        <w:snapToGrid w:val="0"/>
        <w:spacing w:line="560" w:lineRule="exact"/>
        <w:ind w:firstLineChars="200" w:firstLine="560"/>
        <w:rPr>
          <w:rFonts w:ascii="宋体" w:hAnsi="宋体" w:cs="宋体" w:hint="default"/>
          <w:sz w:val="28"/>
          <w:szCs w:val="28"/>
        </w:rPr>
      </w:pPr>
      <w:r>
        <w:rPr>
          <w:rFonts w:ascii="宋体" w:hAnsi="宋体" w:cs="宋体"/>
          <w:sz w:val="28"/>
          <w:szCs w:val="28"/>
        </w:rPr>
        <w:t>1.创新教育成绩斐然。组织大学生研究性学习和创新性实验计划项目申报工作，获国家级29项、省级59项，立项情况为我校历年最好。组织学生参加省级及以上学科竞赛，截至目前，共获省级国家级奖项650项，其中国家级一等奖10项，二等奖37项，三等奖50项，省级特等奖4项、一等奖101项、二等奖191项、三等奖257项。学生在“互联网+”创业大赛中获国家级铜奖1项、省级二等奖1项、三等奖2项。在“挑战杯”竞赛中获全国一等奖1项，三等奖1项，两项作品入围全国主赛道终审决赛，实现了社科类作品全国挑战杯一等奖的历史性突破，</w:t>
      </w:r>
      <w:r>
        <w:rPr>
          <w:rFonts w:ascii="宋体" w:hAnsi="宋体" w:cs="宋体"/>
          <w:sz w:val="28"/>
          <w:szCs w:val="28"/>
        </w:rPr>
        <w:lastRenderedPageBreak/>
        <w:t>获省级一等奖2项、二等奖3项、三等奖7项，学校获评省赛“优胜杯”，分获主赛道和红色赛道两个“优秀组织奖”。</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2.素质教育不断推进。本年度开出线下通识选修课程152门，其中新开课程30门；与超星、智慧树等公司合作，开出线上通识选修课程100门。选修学生人次高达52962。扎实推进“双百工程”，举行了佳片鉴赏会、电影沙龙、主题电影衍生创作大赛、名著读书会等活动。举办了5期“立人读书沙龙”，邀请刘海平、武吉蓉等校内外专家学者进行讲座，得到参与师生的一致肯定。</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3.学生工作成绩斐然。学校获评全国大中专学生志愿者暑期“三下乡”社会实践活动优秀单位，获优秀团队3支，七彩假期先进团队8支，“七彩四点半”志愿服务项目示范团队1支，“返家乡”优秀报告1篇，优秀作品3件，获“走进千村观察，助力乡村振兴”全国大学生暑期社会实践专项“国家重点团队”2支。学校获2020年全国大学生志愿服务西部计划“优秀项目办”，获全国第六届大学生艺术展演二等奖1项，获评“优秀组织奖”。</w:t>
      </w:r>
    </w:p>
    <w:p w:rsidR="00B87C8A" w:rsidRDefault="002D1C8A">
      <w:pPr>
        <w:spacing w:line="560" w:lineRule="exact"/>
        <w:ind w:firstLineChars="200" w:firstLine="562"/>
        <w:rPr>
          <w:rFonts w:ascii="宋体" w:hAnsi="宋体" w:cs="宋体" w:hint="default"/>
          <w:sz w:val="28"/>
          <w:szCs w:val="28"/>
        </w:rPr>
      </w:pPr>
      <w:r>
        <w:rPr>
          <w:rFonts w:ascii="宋体" w:hAnsi="宋体" w:cs="宋体"/>
          <w:b/>
          <w:sz w:val="28"/>
          <w:szCs w:val="28"/>
        </w:rPr>
        <w:t>（四）以提升贡献度为目标，持续推动有效科研与社会服务上台阶</w:t>
      </w:r>
    </w:p>
    <w:p w:rsidR="00B87C8A" w:rsidRDefault="002D1C8A">
      <w:pPr>
        <w:spacing w:line="560" w:lineRule="exact"/>
        <w:ind w:firstLineChars="200" w:firstLine="560"/>
        <w:rPr>
          <w:rFonts w:ascii="宋体" w:hAnsi="宋体" w:cs="宋体" w:hint="default"/>
          <w:sz w:val="28"/>
          <w:szCs w:val="28"/>
        </w:rPr>
      </w:pPr>
      <w:r>
        <w:rPr>
          <w:rFonts w:ascii="宋体" w:hAnsi="宋体" w:cs="宋体"/>
          <w:sz w:val="28"/>
          <w:szCs w:val="28"/>
        </w:rPr>
        <w:t>紧扣湖南“三高四新”战略，促进科技成果就地转化，全年科研课题立项287项，获项目经费2368.38万元，其中国家自科基金项目20项，国家社科基金项目16项，重点项目1项。“沈从文与湘西文艺研究中心”“武陵山区乡村振兴与区域发展研究中心”2个平台获批新立项，“乡村振兴研究中心”获批湖南省社会科学创新研究基地。获省优秀青年社会科学专家1名，省优秀社科成果奖23项，省自然科学奖5项。学报两刊学术质量稳中有升，各类文献计量评价数据位居同类期刊前列。</w:t>
      </w:r>
      <w:r>
        <w:rPr>
          <w:rFonts w:ascii="宋体" w:hAnsi="宋体" w:cs="宋体"/>
          <w:sz w:val="28"/>
          <w:szCs w:val="28"/>
        </w:rPr>
        <w:lastRenderedPageBreak/>
        <w:t>主动聚焦乡村振兴战略，建立了与永顺县润雅乡五官村的上下联动及振兴帮扶工作机制，助力永顺莓茶产业的发展。充分发挥“湖南乡村振兴战略研究中心”“武陵山区发展论坛”等平台的作用，围绕乡村振兴、民族团结进步创建、筑牢中华民族共同体意识等开展20多场次辅导报告、学术讲座和咨询服务。全面深化校地合作，建立校地合作联席会议机制，成立校地合作工作专班推动校地合作具体事项落地落实。</w:t>
      </w:r>
    </w:p>
    <w:p w:rsidR="00B87C8A" w:rsidRDefault="002D1C8A">
      <w:pPr>
        <w:spacing w:line="560" w:lineRule="exact"/>
        <w:ind w:firstLineChars="200" w:firstLine="562"/>
        <w:rPr>
          <w:rFonts w:ascii="宋体" w:hAnsi="宋体" w:cs="宋体" w:hint="default"/>
          <w:sz w:val="28"/>
          <w:szCs w:val="28"/>
        </w:rPr>
      </w:pPr>
      <w:r>
        <w:rPr>
          <w:rFonts w:ascii="宋体" w:hAnsi="宋体" w:cs="宋体"/>
          <w:b/>
          <w:sz w:val="28"/>
          <w:szCs w:val="28"/>
        </w:rPr>
        <w:t>（五）以坚持人才强校为核心，着力提升了人才队伍素质</w:t>
      </w:r>
    </w:p>
    <w:p w:rsidR="00B87C8A" w:rsidRDefault="002D1C8A">
      <w:pPr>
        <w:spacing w:line="560" w:lineRule="exact"/>
        <w:ind w:firstLineChars="200" w:firstLine="560"/>
        <w:rPr>
          <w:rFonts w:ascii="宋体" w:hAnsi="宋体" w:cs="宋体" w:hint="default"/>
          <w:sz w:val="28"/>
          <w:szCs w:val="28"/>
        </w:rPr>
      </w:pPr>
      <w:r>
        <w:rPr>
          <w:rFonts w:ascii="宋体" w:hAnsi="宋体" w:cs="宋体"/>
          <w:sz w:val="28"/>
          <w:szCs w:val="28"/>
        </w:rPr>
        <w:t>1.优化人才引进。全年引进博士10名，推荐、考取博士25人，学成返校博士18人。以效率为导向，兼顾历史贡献，修订完善了俊彦人才计划，提高了入选门槛，明确了入选期间的任务要求，启动俊彦人才工程的阶段性和聘期考核，稳定了一批学科带头人和学术骨干。</w:t>
      </w:r>
    </w:p>
    <w:p w:rsidR="00B87C8A" w:rsidRDefault="002D1C8A">
      <w:pPr>
        <w:spacing w:line="540" w:lineRule="exact"/>
        <w:ind w:firstLineChars="200" w:firstLine="560"/>
        <w:rPr>
          <w:rFonts w:ascii="宋体" w:hAnsi="宋体" w:cs="宋体" w:hint="default"/>
          <w:sz w:val="28"/>
          <w:szCs w:val="28"/>
        </w:rPr>
      </w:pPr>
      <w:r>
        <w:rPr>
          <w:rFonts w:ascii="宋体" w:hAnsi="宋体" w:cs="宋体"/>
          <w:sz w:val="28"/>
          <w:szCs w:val="28"/>
        </w:rPr>
        <w:t>2.完善人事制度。完成了新一轮俊彦学者人才工程实施方案的调研、起草，拟定了《特聘教授、讲座教授管理办法》文件初稿，完成三类培训协议《吉首大学定向培养博士研究生协议书》《吉首大学非定向培养博士研究生协议书》《吉首大学定向培养硕士研究生协议书》的修订并实施，制定并发文了《吉首大学师德师风建设年实施方案》。</w:t>
      </w:r>
    </w:p>
    <w:p w:rsidR="00B87C8A" w:rsidRDefault="002D1C8A">
      <w:pPr>
        <w:spacing w:line="540" w:lineRule="exact"/>
        <w:ind w:firstLine="640"/>
        <w:rPr>
          <w:rFonts w:ascii="宋体" w:hAnsi="宋体" w:cs="宋体" w:hint="default"/>
          <w:sz w:val="28"/>
          <w:szCs w:val="28"/>
        </w:rPr>
      </w:pPr>
      <w:r>
        <w:rPr>
          <w:rFonts w:ascii="宋体" w:hAnsi="宋体" w:cs="宋体"/>
          <w:sz w:val="28"/>
          <w:szCs w:val="28"/>
        </w:rPr>
        <w:t>3.抓好人才培养工作。全年共办理60余人的教育培训审批手续，考取博士24人；教育部2021年“高校思想政治工作骨干在职攻读博士学位专项计划”项目推荐1人；实施课程进修和学术访问4人。资助：省芙蓉学者9人、省芙蓉教学名师1人、湖湘青年英才支持计划4人、湖湘高层次人才聚集工程1人、高端人才1人、30名教师获湖南省青年骨干教师。</w:t>
      </w:r>
    </w:p>
    <w:p w:rsidR="00B87C8A" w:rsidRDefault="002D1C8A">
      <w:pPr>
        <w:spacing w:line="540" w:lineRule="exact"/>
        <w:ind w:firstLine="640"/>
        <w:rPr>
          <w:rFonts w:ascii="宋体" w:hAnsi="宋体" w:cs="宋体" w:hint="default"/>
          <w:sz w:val="28"/>
          <w:szCs w:val="28"/>
        </w:rPr>
      </w:pPr>
      <w:r>
        <w:rPr>
          <w:rFonts w:ascii="宋体" w:hAnsi="宋体" w:cs="宋体"/>
          <w:b/>
          <w:sz w:val="28"/>
          <w:szCs w:val="28"/>
        </w:rPr>
        <w:t>（六）以改善问题为导向，积极稳妥的推进学校提质升级</w:t>
      </w:r>
    </w:p>
    <w:p w:rsidR="00B87C8A" w:rsidRDefault="002D1C8A">
      <w:pPr>
        <w:spacing w:line="540" w:lineRule="exact"/>
        <w:ind w:firstLine="640"/>
        <w:rPr>
          <w:rFonts w:ascii="宋体" w:hAnsi="宋体" w:cs="宋体" w:hint="default"/>
          <w:sz w:val="28"/>
          <w:szCs w:val="28"/>
        </w:rPr>
      </w:pPr>
      <w:r>
        <w:rPr>
          <w:rFonts w:ascii="宋体" w:hAnsi="宋体" w:cs="宋体"/>
          <w:sz w:val="28"/>
          <w:szCs w:val="28"/>
        </w:rPr>
        <w:lastRenderedPageBreak/>
        <w:t>积极推进现代大学治理能力和治理水平建设，启动了《吉首大学章程》修订工作。科学编制预算，刚性执行预算，奋力拓展财源，加大创收和资金争取力度，保障学校事业发展。成功实现了吉首大学张家界学院按新规转设，成为湖南省独立学院转设的榜样，受到省领导表扬。认真谋划学校资产经营和校办企业发展，制定了《吉首大学保留企业体制改革实施方案》，完成了6家全民所有制企业、12家分支机构的注销工作。加强内部控制，规范会议管理、人事管理、项目管理、活动管理和招投标管理，完成各类审计项目600余次，促进增收节支371.58万元。</w:t>
      </w:r>
    </w:p>
    <w:p w:rsidR="00B87C8A" w:rsidRDefault="002D1C8A">
      <w:pPr>
        <w:spacing w:line="540" w:lineRule="exact"/>
        <w:ind w:firstLine="640"/>
        <w:rPr>
          <w:rFonts w:ascii="黑体" w:eastAsia="黑体" w:hAnsi="黑体" w:cs="黑体" w:hint="default"/>
          <w:sz w:val="32"/>
          <w:szCs w:val="32"/>
        </w:rPr>
      </w:pPr>
      <w:r>
        <w:rPr>
          <w:rFonts w:ascii="黑体" w:eastAsia="黑体" w:hAnsi="黑体" w:cs="黑体"/>
          <w:sz w:val="32"/>
          <w:szCs w:val="32"/>
        </w:rPr>
        <w:t>四、存在的主要问题及下一步改进措施</w:t>
      </w:r>
    </w:p>
    <w:p w:rsidR="00B87C8A" w:rsidRDefault="002D1C8A">
      <w:pPr>
        <w:spacing w:line="540" w:lineRule="exact"/>
        <w:ind w:firstLine="640"/>
        <w:rPr>
          <w:rFonts w:ascii="宋体" w:hAnsi="宋体" w:cs="宋体" w:hint="default"/>
          <w:sz w:val="28"/>
          <w:szCs w:val="28"/>
        </w:rPr>
      </w:pPr>
      <w:r>
        <w:rPr>
          <w:rFonts w:ascii="宋体" w:hAnsi="宋体" w:cs="宋体"/>
          <w:b/>
          <w:sz w:val="28"/>
          <w:szCs w:val="28"/>
        </w:rPr>
        <w:t>（一）存在的主要问题</w:t>
      </w:r>
    </w:p>
    <w:p w:rsidR="00B87C8A" w:rsidRDefault="002D1C8A">
      <w:pPr>
        <w:spacing w:line="540" w:lineRule="exact"/>
        <w:ind w:firstLine="640"/>
        <w:rPr>
          <w:rFonts w:ascii="宋体" w:hAnsi="宋体" w:cs="宋体" w:hint="default"/>
          <w:sz w:val="28"/>
          <w:szCs w:val="28"/>
        </w:rPr>
      </w:pPr>
      <w:r>
        <w:rPr>
          <w:rFonts w:ascii="宋体" w:hAnsi="宋体" w:cs="宋体"/>
          <w:sz w:val="28"/>
          <w:szCs w:val="28"/>
        </w:rPr>
        <w:t>1.个别项目经费的预算绩效目标还不明晰，缺乏定量的评价指标，影响了评价结论的科学性。</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2.个别专项经费的预算支出进度较慢，未能按项目预算规定的进度实施，影响了预算支出的完成率。</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3.个别专项经费的预算绩效不明显，与绩效目标还存在一定的差距。</w:t>
      </w:r>
    </w:p>
    <w:p w:rsidR="00B87C8A" w:rsidRDefault="002D1C8A">
      <w:pPr>
        <w:spacing w:line="560" w:lineRule="exact"/>
        <w:ind w:firstLine="640"/>
        <w:rPr>
          <w:rFonts w:ascii="宋体" w:hAnsi="宋体" w:cs="宋体" w:hint="default"/>
          <w:sz w:val="28"/>
          <w:szCs w:val="28"/>
        </w:rPr>
      </w:pPr>
      <w:r>
        <w:rPr>
          <w:rFonts w:ascii="宋体" w:hAnsi="宋体" w:cs="宋体"/>
          <w:b/>
          <w:sz w:val="28"/>
          <w:szCs w:val="28"/>
        </w:rPr>
        <w:t>（二）改进措施</w:t>
      </w:r>
    </w:p>
    <w:p w:rsidR="00B87C8A" w:rsidRDefault="002D1C8A">
      <w:pPr>
        <w:spacing w:line="560" w:lineRule="exact"/>
        <w:ind w:firstLine="640"/>
        <w:rPr>
          <w:rFonts w:ascii="宋体" w:hAnsi="宋体" w:cs="宋体" w:hint="default"/>
          <w:sz w:val="28"/>
          <w:szCs w:val="28"/>
        </w:rPr>
      </w:pPr>
      <w:r>
        <w:rPr>
          <w:rFonts w:ascii="宋体" w:hAnsi="宋体" w:cs="宋体"/>
          <w:sz w:val="28"/>
          <w:szCs w:val="28"/>
        </w:rPr>
        <w:t>1.强化预算编制科学性。持续强化预算调研和论证工作，充分考虑执行过程中的各项影响因素，做好解决措施预案，使预算方案具备较高的全面性、准确性、科学性。</w:t>
      </w:r>
    </w:p>
    <w:p w:rsidR="00B87C8A" w:rsidRDefault="002D1C8A">
      <w:pPr>
        <w:spacing w:line="560" w:lineRule="exact"/>
        <w:ind w:firstLineChars="200" w:firstLine="560"/>
        <w:rPr>
          <w:rFonts w:ascii="宋体" w:hAnsi="宋体" w:cs="宋体" w:hint="default"/>
          <w:sz w:val="28"/>
          <w:szCs w:val="28"/>
        </w:rPr>
      </w:pPr>
      <w:r>
        <w:rPr>
          <w:rFonts w:ascii="宋体" w:hAnsi="宋体" w:cs="宋体"/>
          <w:sz w:val="28"/>
          <w:szCs w:val="28"/>
        </w:rPr>
        <w:t>2.强化预算执行跟踪问效。加强对预算执行过程监督与跟踪，重点预警预算执行较差及未及时报账的项目。对于当年不能执行或执行不完的项目，按照省厅及学校的预算管理要求，及时调整。</w:t>
      </w:r>
    </w:p>
    <w:p w:rsidR="00B87C8A" w:rsidRDefault="002D1C8A">
      <w:pPr>
        <w:spacing w:line="560" w:lineRule="exact"/>
        <w:ind w:firstLineChars="200" w:firstLine="560"/>
        <w:rPr>
          <w:rFonts w:ascii="宋体" w:hAnsi="宋体" w:cs="宋体" w:hint="default"/>
          <w:sz w:val="28"/>
          <w:szCs w:val="28"/>
        </w:rPr>
      </w:pPr>
      <w:r>
        <w:rPr>
          <w:rFonts w:ascii="宋体" w:hAnsi="宋体" w:cs="宋体"/>
          <w:sz w:val="28"/>
          <w:szCs w:val="28"/>
        </w:rPr>
        <w:t>3.强化预算绩效评价。加强年度资金执行绩效考评，在对预算执行</w:t>
      </w:r>
      <w:r>
        <w:rPr>
          <w:rFonts w:ascii="宋体" w:hAnsi="宋体" w:cs="宋体"/>
          <w:sz w:val="28"/>
          <w:szCs w:val="28"/>
        </w:rPr>
        <w:lastRenderedPageBreak/>
        <w:t>较差及绩效目标不明显的项目在一定范围内通报的同时注重评价结果反馈与应用。</w:t>
      </w:r>
    </w:p>
    <w:p w:rsidR="00B87C8A" w:rsidRDefault="002D1C8A">
      <w:pPr>
        <w:spacing w:line="560" w:lineRule="exact"/>
        <w:ind w:firstLineChars="200" w:firstLine="560"/>
        <w:rPr>
          <w:rFonts w:ascii="宋体" w:hAnsi="宋体" w:cs="宋体" w:hint="default"/>
          <w:sz w:val="28"/>
          <w:szCs w:val="28"/>
        </w:rPr>
      </w:pPr>
      <w:r>
        <w:rPr>
          <w:rFonts w:ascii="宋体" w:hAnsi="宋体" w:cs="宋体"/>
          <w:sz w:val="28"/>
          <w:szCs w:val="28"/>
        </w:rPr>
        <w:t>4.统筹整体支出绩效评价及其他考评检查工作，提炼共性内容，共享评价成果，形成综合的考评工作机制，减少重复工作投入，提升工作效能，切实达到以评促建的效果。</w:t>
      </w:r>
    </w:p>
    <w:p w:rsidR="00B87C8A" w:rsidRDefault="00B87C8A">
      <w:pPr>
        <w:autoSpaceDE w:val="0"/>
        <w:autoSpaceDN w:val="0"/>
        <w:adjustRightInd w:val="0"/>
        <w:ind w:firstLine="0"/>
        <w:jc w:val="left"/>
        <w:rPr>
          <w:rFonts w:ascii="宋体" w:hAnsi="Chiller" w:cs="宋体" w:hint="default"/>
          <w:kern w:val="0"/>
          <w:sz w:val="18"/>
          <w:szCs w:val="18"/>
          <w:lang w:val="zh-CN"/>
        </w:rPr>
      </w:pPr>
    </w:p>
    <w:sectPr w:rsidR="00B87C8A" w:rsidSect="00B87C8A">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9D8" w:rsidRDefault="000E29D8" w:rsidP="002D1C8A">
      <w:pPr>
        <w:rPr>
          <w:rFonts w:hint="default"/>
        </w:rPr>
      </w:pPr>
      <w:r>
        <w:separator/>
      </w:r>
    </w:p>
  </w:endnote>
  <w:endnote w:type="continuationSeparator" w:id="1">
    <w:p w:rsidR="000E29D8" w:rsidRDefault="000E29D8" w:rsidP="002D1C8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9D8" w:rsidRDefault="000E29D8" w:rsidP="002D1C8A">
      <w:pPr>
        <w:rPr>
          <w:rFonts w:hint="default"/>
        </w:rPr>
      </w:pPr>
      <w:r>
        <w:separator/>
      </w:r>
    </w:p>
  </w:footnote>
  <w:footnote w:type="continuationSeparator" w:id="1">
    <w:p w:rsidR="000E29D8" w:rsidRDefault="000E29D8" w:rsidP="002D1C8A">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720"/>
  <w:drawingGridHorizontalSpacing w:val="120"/>
  <w:drawingGridVerticalSpacing w:val="120"/>
  <w:doNotUseMarginsForDrawingGridOrigin/>
  <w:doNotShadeFormData/>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VlMjViYmUxNzJiNTAzNzhhYWU1OTMyYWE3NmUxYjAifQ=="/>
  </w:docVars>
  <w:rsids>
    <w:rsidRoot w:val="00172A27"/>
    <w:rsid w:val="000E29D8"/>
    <w:rsid w:val="00172A27"/>
    <w:rsid w:val="002D1C8A"/>
    <w:rsid w:val="003F0F38"/>
    <w:rsid w:val="00803058"/>
    <w:rsid w:val="00930D56"/>
    <w:rsid w:val="009D261B"/>
    <w:rsid w:val="00A462A7"/>
    <w:rsid w:val="00A8447A"/>
    <w:rsid w:val="00B237E9"/>
    <w:rsid w:val="00B87C8A"/>
    <w:rsid w:val="00D0235F"/>
    <w:rsid w:val="00D472CF"/>
    <w:rsid w:val="00EA3479"/>
    <w:rsid w:val="0C0F5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uiPriority="35"/>
    <w:lsdException w:name="Title" w:uiPriority="10"/>
    <w:lsdException w:name="Default Paragraph Font" w:uiPriority="1" w:unhideWhenUsed="1" w:qFormat="0"/>
    <w:lsdException w:name="Subtitle" w:uiPriority="11"/>
    <w:lsdException w:name="Date" w:unhideWhenUsed="1" w:qFormat="0"/>
    <w:lsdException w:name="Strong" w:uiPriority="22"/>
    <w:lsdException w:name="Emphasis" w:uiPriority="2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unhideWhenUsed="1"/>
    <w:lsdException w:name="Quote" w:semiHidden="1" w:unhideWhenUsed="1" w:qFormat="0"/>
    <w:lsdException w:name="Intense Quote"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nhideWhenUsed/>
    <w:qFormat/>
    <w:rsid w:val="00B87C8A"/>
    <w:pPr>
      <w:widowControl w:val="0"/>
      <w:ind w:firstLine="641"/>
      <w:jc w:val="both"/>
    </w:pPr>
    <w:rPr>
      <w:rFonts w:ascii="Calibri" w:hAnsi="Calibri"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87C8A"/>
    <w:pPr>
      <w:ind w:leftChars="2500" w:left="100"/>
    </w:pPr>
  </w:style>
  <w:style w:type="paragraph" w:styleId="a4">
    <w:name w:val="footer"/>
    <w:basedOn w:val="a"/>
    <w:link w:val="Char0"/>
    <w:uiPriority w:val="99"/>
    <w:unhideWhenUsed/>
    <w:rsid w:val="00B87C8A"/>
    <w:pPr>
      <w:tabs>
        <w:tab w:val="center" w:pos="4153"/>
        <w:tab w:val="right" w:pos="8306"/>
      </w:tabs>
      <w:snapToGrid w:val="0"/>
      <w:jc w:val="left"/>
    </w:pPr>
    <w:rPr>
      <w:sz w:val="18"/>
      <w:szCs w:val="18"/>
    </w:rPr>
  </w:style>
  <w:style w:type="paragraph" w:styleId="a5">
    <w:name w:val="header"/>
    <w:basedOn w:val="a"/>
    <w:link w:val="Char1"/>
    <w:uiPriority w:val="99"/>
    <w:unhideWhenUsed/>
    <w:rsid w:val="00B87C8A"/>
    <w:pPr>
      <w:pBdr>
        <w:bottom w:val="single" w:sz="6" w:space="1" w:color="auto"/>
      </w:pBdr>
      <w:tabs>
        <w:tab w:val="center" w:pos="4153"/>
        <w:tab w:val="right" w:pos="8306"/>
      </w:tabs>
      <w:snapToGrid w:val="0"/>
      <w:jc w:val="center"/>
    </w:pPr>
    <w:rPr>
      <w:sz w:val="18"/>
      <w:szCs w:val="18"/>
    </w:rPr>
  </w:style>
  <w:style w:type="paragraph" w:customStyle="1" w:styleId="Default">
    <w:name w:val="Default"/>
    <w:unhideWhenUsed/>
    <w:qFormat/>
    <w:rsid w:val="00B87C8A"/>
    <w:pPr>
      <w:widowControl w:val="0"/>
      <w:autoSpaceDE w:val="0"/>
      <w:autoSpaceDN w:val="0"/>
      <w:adjustRightInd w:val="0"/>
      <w:ind w:firstLine="641"/>
      <w:jc w:val="both"/>
    </w:pPr>
    <w:rPr>
      <w:rFonts w:ascii="黑体" w:eastAsia="黑体" w:hAnsi="Calibri" w:cs="黑体" w:hint="eastAsia"/>
      <w:color w:val="000000"/>
      <w:sz w:val="24"/>
      <w:szCs w:val="24"/>
    </w:rPr>
  </w:style>
  <w:style w:type="paragraph" w:styleId="a6">
    <w:name w:val="List Paragraph"/>
    <w:basedOn w:val="a"/>
    <w:uiPriority w:val="34"/>
    <w:unhideWhenUsed/>
    <w:qFormat/>
    <w:rsid w:val="00B87C8A"/>
    <w:pPr>
      <w:ind w:firstLineChars="200" w:firstLine="420"/>
    </w:pPr>
  </w:style>
  <w:style w:type="paragraph" w:customStyle="1" w:styleId="GB2312">
    <w:name w:val="样式 仿宋_GB2312 四号"/>
    <w:basedOn w:val="a"/>
    <w:unhideWhenUsed/>
    <w:qFormat/>
    <w:rsid w:val="00B87C8A"/>
    <w:pPr>
      <w:spacing w:line="520" w:lineRule="exact"/>
      <w:ind w:firstLineChars="200" w:firstLine="200"/>
    </w:pPr>
    <w:rPr>
      <w:rFonts w:ascii="仿宋_GB2312" w:eastAsia="仿宋_GB2312" w:hAnsi="仿宋_GB2312" w:cs="宋体"/>
      <w:sz w:val="28"/>
      <w:szCs w:val="20"/>
    </w:rPr>
  </w:style>
  <w:style w:type="character" w:customStyle="1" w:styleId="Char1">
    <w:name w:val="页眉 Char"/>
    <w:basedOn w:val="a0"/>
    <w:link w:val="a5"/>
    <w:uiPriority w:val="99"/>
    <w:unhideWhenUsed/>
    <w:locked/>
    <w:rsid w:val="00B87C8A"/>
    <w:rPr>
      <w:rFonts w:cs="Times New Roman" w:hint="default"/>
      <w:sz w:val="18"/>
      <w:szCs w:val="18"/>
    </w:rPr>
  </w:style>
  <w:style w:type="character" w:customStyle="1" w:styleId="Char0">
    <w:name w:val="页脚 Char"/>
    <w:basedOn w:val="a0"/>
    <w:link w:val="a4"/>
    <w:uiPriority w:val="99"/>
    <w:unhideWhenUsed/>
    <w:locked/>
    <w:rsid w:val="00B87C8A"/>
    <w:rPr>
      <w:rFonts w:cs="Times New Roman" w:hint="default"/>
      <w:sz w:val="18"/>
      <w:szCs w:val="18"/>
    </w:rPr>
  </w:style>
  <w:style w:type="character" w:customStyle="1" w:styleId="Char">
    <w:name w:val="日期 Char"/>
    <w:basedOn w:val="a0"/>
    <w:link w:val="a3"/>
    <w:uiPriority w:val="99"/>
    <w:unhideWhenUsed/>
    <w:locked/>
    <w:rsid w:val="00B87C8A"/>
    <w:rPr>
      <w:rFonts w:cs="Times New Roman" w:hint="default"/>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58</Pages>
  <Words>4671</Words>
  <Characters>26629</Characters>
  <Application>Microsoft Office Word</Application>
  <DocSecurity>0</DocSecurity>
  <Lines>221</Lines>
  <Paragraphs>62</Paragraphs>
  <ScaleCrop>false</ScaleCrop>
  <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150</cp:revision>
  <dcterms:created xsi:type="dcterms:W3CDTF">2022-09-15T13:09:00Z</dcterms:created>
  <dcterms:modified xsi:type="dcterms:W3CDTF">2022-09-16T04:08:00Z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D673B90D89CD41788A5811CB003F4069</vt:lpwstr>
  </property>
</Properties>
</file>